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3543" w14:textId="77777777" w:rsidR="005C2F8D" w:rsidRPr="00A90D8F" w:rsidRDefault="005C2F8D" w:rsidP="005C2F8D">
      <w:pPr>
        <w:pStyle w:val="NormaleWeb"/>
        <w:jc w:val="center"/>
      </w:pPr>
      <w:r>
        <w:rPr>
          <w:rFonts w:ascii="Garamond" w:hAnsi="Garamond"/>
          <w:b/>
          <w:bCs/>
        </w:rPr>
        <w:t>AVVISO PUBBLICO PER CONSULTAZIONE PRELIMINARE DI MERCATO</w:t>
      </w:r>
    </w:p>
    <w:p w14:paraId="4B5D9E97" w14:textId="77777777" w:rsidR="005C2F8D" w:rsidRDefault="005C2F8D" w:rsidP="005C2F8D">
      <w:pPr>
        <w:pStyle w:val="Nessunaspaziatura"/>
        <w:jc w:val="both"/>
        <w:rPr>
          <w:b/>
          <w:bCs/>
        </w:rPr>
      </w:pPr>
      <w:r w:rsidRPr="00C43197">
        <w:rPr>
          <w:b/>
          <w:bCs/>
        </w:rPr>
        <w:t xml:space="preserve">Gli IFO, </w:t>
      </w:r>
      <w:r w:rsidRPr="00C43197">
        <w:rPr>
          <w:b/>
          <w:bCs/>
          <w:shd w:val="clear" w:color="auto" w:fill="FFFFFF"/>
        </w:rPr>
        <w:t xml:space="preserve">in applicazione dei principi generali disciplinati al Titolo I del </w:t>
      </w:r>
      <w:proofErr w:type="spellStart"/>
      <w:r w:rsidRPr="00C43197">
        <w:rPr>
          <w:b/>
          <w:bCs/>
          <w:shd w:val="clear" w:color="auto" w:fill="FFFFFF"/>
        </w:rPr>
        <w:t>D.Lgs.</w:t>
      </w:r>
      <w:proofErr w:type="spellEnd"/>
      <w:r w:rsidRPr="00C43197">
        <w:rPr>
          <w:b/>
          <w:bCs/>
          <w:shd w:val="clear" w:color="auto" w:fill="FFFFFF"/>
        </w:rPr>
        <w:t xml:space="preserve"> 36/2023 e ai sensi dell’art. 77 dello stesso Decreto, </w:t>
      </w:r>
      <w:r w:rsidRPr="00C43197">
        <w:rPr>
          <w:b/>
          <w:bCs/>
        </w:rPr>
        <w:t>intendono procedere</w:t>
      </w:r>
      <w:r w:rsidRPr="00C43197">
        <w:rPr>
          <w:b/>
          <w:bCs/>
          <w:shd w:val="clear" w:color="auto" w:fill="FFFFFF"/>
        </w:rPr>
        <w:t xml:space="preserve"> all’effettuazione di una consultazione preliminare di mercato al fine di acquisire informazioni utili alla predisposizione di una procedura di appalto per l’acquisizione in proprietà di un sistema robotico per chirurgia </w:t>
      </w:r>
      <w:proofErr w:type="gramStart"/>
      <w:r w:rsidRPr="00C43197">
        <w:rPr>
          <w:b/>
          <w:bCs/>
          <w:shd w:val="clear" w:color="auto" w:fill="FFFFFF"/>
        </w:rPr>
        <w:t>mini invasiva</w:t>
      </w:r>
      <w:proofErr w:type="gramEnd"/>
      <w:r w:rsidRPr="00C43197">
        <w:rPr>
          <w:b/>
          <w:bCs/>
          <w:shd w:val="clear" w:color="auto" w:fill="FFFFFF"/>
        </w:rPr>
        <w:t xml:space="preserve"> di tipo Single Port (SP)</w:t>
      </w:r>
      <w:r w:rsidRPr="00A90D8F">
        <w:rPr>
          <w:b/>
          <w:bCs/>
        </w:rPr>
        <w:t>.</w:t>
      </w:r>
    </w:p>
    <w:p w14:paraId="0BDCE915" w14:textId="77777777" w:rsidR="00DB36BB" w:rsidRPr="00A90D8F" w:rsidRDefault="00DB36BB" w:rsidP="005C2F8D">
      <w:pPr>
        <w:pStyle w:val="Nessunaspaziatura"/>
        <w:jc w:val="both"/>
        <w:rPr>
          <w:b/>
          <w:bCs/>
          <w:shd w:val="clear" w:color="auto" w:fill="FFFFFF"/>
        </w:rPr>
      </w:pPr>
    </w:p>
    <w:tbl>
      <w:tblPr>
        <w:tblStyle w:val="Grigliatabella"/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3441"/>
        <w:gridCol w:w="831"/>
        <w:gridCol w:w="783"/>
        <w:gridCol w:w="4301"/>
      </w:tblGrid>
      <w:tr w:rsidR="006F7C0B" w:rsidRPr="00BB17C7" w14:paraId="21878289" w14:textId="77777777" w:rsidTr="004D27DA">
        <w:tc>
          <w:tcPr>
            <w:tcW w:w="5426" w:type="dxa"/>
            <w:gridSpan w:val="2"/>
          </w:tcPr>
          <w:p w14:paraId="0B0C9B9E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>QUESITO</w:t>
            </w:r>
          </w:p>
        </w:tc>
        <w:tc>
          <w:tcPr>
            <w:tcW w:w="831" w:type="dxa"/>
          </w:tcPr>
          <w:p w14:paraId="7DBAC467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>Sì</w:t>
            </w:r>
          </w:p>
        </w:tc>
        <w:tc>
          <w:tcPr>
            <w:tcW w:w="783" w:type="dxa"/>
          </w:tcPr>
          <w:p w14:paraId="010D929E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4301" w:type="dxa"/>
          </w:tcPr>
          <w:p w14:paraId="00BE59CB" w14:textId="4EA4F19A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>DESCRIZIONE DETTAGLIATA</w:t>
            </w:r>
            <w:r w:rsidR="002D1AF3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>/EQUIVALENZA</w:t>
            </w:r>
          </w:p>
        </w:tc>
      </w:tr>
      <w:tr w:rsidR="006F7C0B" w:rsidRPr="00BB17C7" w14:paraId="4AB4E4EE" w14:textId="77777777" w:rsidTr="00100AF6">
        <w:tc>
          <w:tcPr>
            <w:tcW w:w="1985" w:type="dxa"/>
            <w:vMerge w:val="restart"/>
            <w:vAlign w:val="center"/>
          </w:tcPr>
          <w:p w14:paraId="7F74FB6A" w14:textId="77777777" w:rsidR="006F7C0B" w:rsidRPr="00BB17C7" w:rsidRDefault="006F7C0B" w:rsidP="00100AF6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hd w:val="clear" w:color="auto" w:fill="FFFFFF"/>
              </w:rPr>
              <w:t>CONSOLE CHIRURGICA</w:t>
            </w:r>
          </w:p>
        </w:tc>
        <w:tc>
          <w:tcPr>
            <w:tcW w:w="3441" w:type="dxa"/>
          </w:tcPr>
          <w:p w14:paraId="45DE03A0" w14:textId="54EAF4CC" w:rsidR="006F7C0B" w:rsidRPr="00FD7C6D" w:rsidRDefault="00B9371C" w:rsidP="00100AF6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Calibri"/>
                <w:bCs/>
                <w:color w:val="000000"/>
                <w:lang w:eastAsia="en-US"/>
                <w14:ligatures w14:val="standardContextual"/>
              </w:rPr>
            </w:pPr>
            <w:r w:rsidRPr="00FD7C6D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>Pedaliera per gestione (movimentazione e</w:t>
            </w:r>
            <w:r w:rsidR="00DD0F70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Pr="00FD7C6D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 xml:space="preserve">attivazione) di strumenti/endoscopio </w:t>
            </w:r>
          </w:p>
        </w:tc>
        <w:tc>
          <w:tcPr>
            <w:tcW w:w="831" w:type="dxa"/>
          </w:tcPr>
          <w:p w14:paraId="713DDD2D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6D5AEF32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54974813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2303D5" w:rsidRPr="00BB17C7" w14:paraId="0385137A" w14:textId="77777777" w:rsidTr="00100AF6">
        <w:tc>
          <w:tcPr>
            <w:tcW w:w="1985" w:type="dxa"/>
            <w:vMerge/>
            <w:vAlign w:val="center"/>
          </w:tcPr>
          <w:p w14:paraId="3008129B" w14:textId="77777777" w:rsidR="002303D5" w:rsidRPr="00BB17C7" w:rsidRDefault="002303D5" w:rsidP="00100AF6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</w:tc>
        <w:tc>
          <w:tcPr>
            <w:tcW w:w="3441" w:type="dxa"/>
          </w:tcPr>
          <w:p w14:paraId="40BE9C80" w14:textId="76743877" w:rsidR="002303D5" w:rsidRPr="00FD7C6D" w:rsidRDefault="002303D5" w:rsidP="00100AF6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</w:pPr>
            <w:r w:rsidRPr="00FD7C6D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>Filtraggio del tremore</w:t>
            </w:r>
          </w:p>
        </w:tc>
        <w:tc>
          <w:tcPr>
            <w:tcW w:w="831" w:type="dxa"/>
          </w:tcPr>
          <w:p w14:paraId="6B86AC52" w14:textId="77777777" w:rsidR="002303D5" w:rsidRPr="00BB17C7" w:rsidRDefault="002303D5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hd w:val="clear" w:color="auto" w:fill="FFFFFF"/>
              </w:rPr>
            </w:pPr>
          </w:p>
        </w:tc>
        <w:tc>
          <w:tcPr>
            <w:tcW w:w="783" w:type="dxa"/>
          </w:tcPr>
          <w:p w14:paraId="288DAD1E" w14:textId="77777777" w:rsidR="002303D5" w:rsidRPr="00BB17C7" w:rsidRDefault="002303D5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hd w:val="clear" w:color="auto" w:fill="FFFFFF"/>
              </w:rPr>
            </w:pPr>
          </w:p>
        </w:tc>
        <w:tc>
          <w:tcPr>
            <w:tcW w:w="4301" w:type="dxa"/>
          </w:tcPr>
          <w:p w14:paraId="5E371DF4" w14:textId="77777777" w:rsidR="002303D5" w:rsidRPr="00BB17C7" w:rsidRDefault="002303D5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hd w:val="clear" w:color="auto" w:fill="FFFFFF"/>
              </w:rPr>
            </w:pPr>
          </w:p>
        </w:tc>
      </w:tr>
      <w:tr w:rsidR="002303D5" w:rsidRPr="00BB17C7" w14:paraId="202644CB" w14:textId="77777777" w:rsidTr="00100AF6">
        <w:tc>
          <w:tcPr>
            <w:tcW w:w="1985" w:type="dxa"/>
            <w:vMerge/>
            <w:vAlign w:val="center"/>
          </w:tcPr>
          <w:p w14:paraId="5C1B9235" w14:textId="77777777" w:rsidR="002303D5" w:rsidRPr="00BB17C7" w:rsidRDefault="002303D5" w:rsidP="00100AF6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</w:tc>
        <w:tc>
          <w:tcPr>
            <w:tcW w:w="3441" w:type="dxa"/>
          </w:tcPr>
          <w:p w14:paraId="28C4D83E" w14:textId="4B792A09" w:rsidR="002303D5" w:rsidRPr="00FD7C6D" w:rsidRDefault="002303D5" w:rsidP="00100AF6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</w:pPr>
            <w:r w:rsidRPr="00FD7C6D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 xml:space="preserve">Possibilità di regolazione dei sistemi di visione-comandi per la gestione degli strumenti di chirurgia </w:t>
            </w:r>
            <w:r w:rsidR="00F050B6" w:rsidRPr="00FD7C6D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>robotica assistita per agevolare la naturale corrispondenza di lavoro mano-occhi</w:t>
            </w:r>
          </w:p>
        </w:tc>
        <w:tc>
          <w:tcPr>
            <w:tcW w:w="831" w:type="dxa"/>
          </w:tcPr>
          <w:p w14:paraId="22A885F6" w14:textId="77777777" w:rsidR="002303D5" w:rsidRPr="00BB17C7" w:rsidRDefault="002303D5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hd w:val="clear" w:color="auto" w:fill="FFFFFF"/>
              </w:rPr>
            </w:pPr>
          </w:p>
        </w:tc>
        <w:tc>
          <w:tcPr>
            <w:tcW w:w="783" w:type="dxa"/>
          </w:tcPr>
          <w:p w14:paraId="3627F420" w14:textId="77777777" w:rsidR="002303D5" w:rsidRPr="00BB17C7" w:rsidRDefault="002303D5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hd w:val="clear" w:color="auto" w:fill="FFFFFF"/>
              </w:rPr>
            </w:pPr>
          </w:p>
        </w:tc>
        <w:tc>
          <w:tcPr>
            <w:tcW w:w="4301" w:type="dxa"/>
          </w:tcPr>
          <w:p w14:paraId="35CD4D96" w14:textId="77777777" w:rsidR="002303D5" w:rsidRPr="00BB17C7" w:rsidRDefault="002303D5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hd w:val="clear" w:color="auto" w:fill="FFFFFF"/>
              </w:rPr>
            </w:pPr>
          </w:p>
        </w:tc>
      </w:tr>
      <w:tr w:rsidR="006F7C0B" w:rsidRPr="00BB17C7" w14:paraId="65DA0DA3" w14:textId="77777777" w:rsidTr="00100AF6">
        <w:tc>
          <w:tcPr>
            <w:tcW w:w="1985" w:type="dxa"/>
            <w:vMerge/>
            <w:vAlign w:val="center"/>
          </w:tcPr>
          <w:p w14:paraId="284499A7" w14:textId="77777777" w:rsidR="006F7C0B" w:rsidRPr="00BB17C7" w:rsidRDefault="006F7C0B" w:rsidP="00100AF6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6AC760D3" w14:textId="6455AF7C" w:rsidR="006F7C0B" w:rsidRPr="00FD7C6D" w:rsidRDefault="002303D5" w:rsidP="00100AF6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</w:pPr>
            <w:r w:rsidRPr="00FD7C6D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>Dotata di sistemi di sicurezza che prevengono l’attivazione involontaria degli strumenti chirurgici</w:t>
            </w:r>
          </w:p>
        </w:tc>
        <w:tc>
          <w:tcPr>
            <w:tcW w:w="831" w:type="dxa"/>
          </w:tcPr>
          <w:p w14:paraId="7DDA7197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4044A045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23C55EFE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095BF7CF" w14:textId="77777777" w:rsidTr="00100AF6">
        <w:tc>
          <w:tcPr>
            <w:tcW w:w="1985" w:type="dxa"/>
            <w:vMerge w:val="restart"/>
            <w:vAlign w:val="center"/>
          </w:tcPr>
          <w:p w14:paraId="285D6F92" w14:textId="33E2CA1C" w:rsidR="006F7C0B" w:rsidRPr="00BB17C7" w:rsidRDefault="00100AF6" w:rsidP="00100AF6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Calibri"/>
                <w:b/>
                <w:shd w:val="clear" w:color="auto" w:fill="FFFFFF"/>
              </w:rPr>
              <w:t>C</w:t>
            </w:r>
            <w:r w:rsidR="006F7C0B" w:rsidRPr="00BB17C7">
              <w:rPr>
                <w:rFonts w:ascii="Garamond" w:hAnsi="Garamond" w:cs="Calibri"/>
                <w:b/>
                <w:shd w:val="clear" w:color="auto" w:fill="FFFFFF"/>
              </w:rPr>
              <w:t>ARRELLO VISIONE</w:t>
            </w:r>
          </w:p>
        </w:tc>
        <w:tc>
          <w:tcPr>
            <w:tcW w:w="3441" w:type="dxa"/>
          </w:tcPr>
          <w:p w14:paraId="238DEB0A" w14:textId="1181C4FC" w:rsidR="006F7C0B" w:rsidRPr="00FD7C6D" w:rsidRDefault="00590D0B" w:rsidP="00100AF6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</w:pPr>
            <w:r w:rsidRPr="00FD7C6D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>Elettrobisturi integrato</w:t>
            </w:r>
          </w:p>
        </w:tc>
        <w:tc>
          <w:tcPr>
            <w:tcW w:w="831" w:type="dxa"/>
          </w:tcPr>
          <w:p w14:paraId="167E9E8D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12953861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01A09AB6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2491428F" w14:textId="77777777" w:rsidTr="004D27DA">
        <w:tc>
          <w:tcPr>
            <w:tcW w:w="1985" w:type="dxa"/>
            <w:vMerge/>
          </w:tcPr>
          <w:p w14:paraId="283E82D0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012D36E7" w14:textId="69A2E12E" w:rsidR="006F7C0B" w:rsidRPr="00FD7C6D" w:rsidRDefault="002303D5" w:rsidP="00100AF6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 w:rsidRPr="00FD7C6D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>Interfacciabili</w:t>
            </w:r>
            <w:r w:rsidR="002D3E0E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>tà</w:t>
            </w:r>
            <w:proofErr w:type="spellEnd"/>
            <w:r w:rsidRPr="00FD7C6D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 xml:space="preserve"> del sistema di chirurgia robotica assistita con tutti i sistemi di diagnostica e acquisizione</w:t>
            </w:r>
            <w:r w:rsidR="00FD7C6D" w:rsidRPr="00FD7C6D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Pr="00FD7C6D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>di   immagini</w:t>
            </w:r>
          </w:p>
        </w:tc>
        <w:tc>
          <w:tcPr>
            <w:tcW w:w="831" w:type="dxa"/>
          </w:tcPr>
          <w:p w14:paraId="3E9FE2C5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16CB6D29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15276D1A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75779ADB" w14:textId="77777777" w:rsidTr="00100AF6">
        <w:trPr>
          <w:trHeight w:val="873"/>
        </w:trPr>
        <w:tc>
          <w:tcPr>
            <w:tcW w:w="1985" w:type="dxa"/>
            <w:vMerge/>
            <w:vAlign w:val="center"/>
          </w:tcPr>
          <w:p w14:paraId="73B31FB1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39D3CEE6" w14:textId="28A58165" w:rsidR="006F7C0B" w:rsidRPr="00FD7C6D" w:rsidRDefault="002303D5" w:rsidP="00100AF6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</w:pPr>
            <w:r w:rsidRPr="00FD7C6D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 xml:space="preserve">Monitor touch screen utilizzabile per telepresenza, durante attività di formazione e </w:t>
            </w:r>
            <w:proofErr w:type="spellStart"/>
            <w:r w:rsidRPr="00FD7C6D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>proctoring</w:t>
            </w:r>
            <w:proofErr w:type="spellEnd"/>
          </w:p>
        </w:tc>
        <w:tc>
          <w:tcPr>
            <w:tcW w:w="831" w:type="dxa"/>
          </w:tcPr>
          <w:p w14:paraId="0DB5224D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78F1A827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69CCEB9B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7C58A15C" w14:textId="77777777" w:rsidTr="00B75C61">
        <w:trPr>
          <w:trHeight w:val="1450"/>
        </w:trPr>
        <w:tc>
          <w:tcPr>
            <w:tcW w:w="1985" w:type="dxa"/>
            <w:vMerge w:val="restart"/>
            <w:vAlign w:val="center"/>
          </w:tcPr>
          <w:p w14:paraId="330B7B12" w14:textId="7AA8ACF4" w:rsidR="006F7C0B" w:rsidRPr="00BB17C7" w:rsidRDefault="00B32143" w:rsidP="00B75C61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32143">
              <w:rPr>
                <w:rFonts w:ascii="Garamond" w:hAnsi="Garamond" w:cs="Calibri"/>
                <w:b/>
                <w:shd w:val="clear" w:color="auto" w:fill="FFFFFF"/>
              </w:rPr>
              <w:t>CARRELLO PAZIENTE MONO BRACCIO</w:t>
            </w:r>
          </w:p>
        </w:tc>
        <w:tc>
          <w:tcPr>
            <w:tcW w:w="3441" w:type="dxa"/>
          </w:tcPr>
          <w:p w14:paraId="0F0304F1" w14:textId="04B60140" w:rsidR="006F7C0B" w:rsidRPr="00FD7C6D" w:rsidRDefault="000572FB" w:rsidP="00B75C61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</w:pPr>
            <w:r w:rsidRPr="00FD7C6D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>Unico carrello motorizzato che permetta uno spostamento agevole e riduca l’ingombro rispetto al tavolo      operatorio</w:t>
            </w:r>
          </w:p>
        </w:tc>
        <w:tc>
          <w:tcPr>
            <w:tcW w:w="831" w:type="dxa"/>
          </w:tcPr>
          <w:p w14:paraId="01E155E4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3CA8B21E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2EC5FBC6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4DAA3ECB" w14:textId="77777777" w:rsidTr="00465FB7">
        <w:trPr>
          <w:trHeight w:val="1222"/>
        </w:trPr>
        <w:tc>
          <w:tcPr>
            <w:tcW w:w="1985" w:type="dxa"/>
            <w:vMerge/>
            <w:vAlign w:val="center"/>
          </w:tcPr>
          <w:p w14:paraId="6F333CBB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</w:tc>
        <w:tc>
          <w:tcPr>
            <w:tcW w:w="3441" w:type="dxa"/>
          </w:tcPr>
          <w:p w14:paraId="1BADCAF2" w14:textId="71ED7B06" w:rsidR="006F7C0B" w:rsidRPr="00FD7C6D" w:rsidRDefault="00D75070" w:rsidP="00100AF6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</w:pPr>
            <w:r w:rsidRPr="00FD7C6D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>Colonna di sostegno regolabile in altezza in base alle necessità chirurgiche ed ai vincoli di sala operatoria</w:t>
            </w:r>
          </w:p>
        </w:tc>
        <w:tc>
          <w:tcPr>
            <w:tcW w:w="831" w:type="dxa"/>
          </w:tcPr>
          <w:p w14:paraId="754F66E0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022A8BBA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353F04DC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5889B633" w14:textId="77777777" w:rsidTr="004D27DA">
        <w:tc>
          <w:tcPr>
            <w:tcW w:w="1985" w:type="dxa"/>
            <w:vMerge/>
          </w:tcPr>
          <w:p w14:paraId="1737DE8B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55614A72" w14:textId="36668167" w:rsidR="006F7C0B" w:rsidRPr="00FD7C6D" w:rsidRDefault="00FB7F3B" w:rsidP="00100AF6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</w:pPr>
            <w:r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>Possibilità di</w:t>
            </w:r>
            <w:r w:rsidR="00575FF7" w:rsidRPr="00FD7C6D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 xml:space="preserve"> accesso anatomico a 360° a braccio singolo in grado di raggiungere l'anatomia in tutti e quattro i quadranti dell'addome senza necessità di altri docking</w:t>
            </w:r>
          </w:p>
        </w:tc>
        <w:tc>
          <w:tcPr>
            <w:tcW w:w="831" w:type="dxa"/>
          </w:tcPr>
          <w:p w14:paraId="1071C9FD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785EA8D4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627FB683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1B329F74" w14:textId="77777777" w:rsidTr="004D27DA">
        <w:tc>
          <w:tcPr>
            <w:tcW w:w="1985" w:type="dxa"/>
            <w:vMerge/>
          </w:tcPr>
          <w:p w14:paraId="361FB0F9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78D51041" w14:textId="4AC64B72" w:rsidR="006F7C0B" w:rsidRPr="00FD7C6D" w:rsidRDefault="009D3BE6" w:rsidP="00100AF6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</w:pPr>
            <w:r w:rsidRPr="00FD7C6D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>Endoscopio 3D HD completamente articolato e flessibile</w:t>
            </w:r>
          </w:p>
        </w:tc>
        <w:tc>
          <w:tcPr>
            <w:tcW w:w="831" w:type="dxa"/>
          </w:tcPr>
          <w:p w14:paraId="20DD789D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6B68E132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319423EA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4B398C80" w14:textId="77777777" w:rsidTr="004D27DA">
        <w:tc>
          <w:tcPr>
            <w:tcW w:w="1985" w:type="dxa"/>
            <w:vMerge/>
          </w:tcPr>
          <w:p w14:paraId="001BD7A6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472C98C0" w14:textId="06BE5851" w:rsidR="006F7C0B" w:rsidRPr="00FD7C6D" w:rsidRDefault="003B53F9" w:rsidP="00AD5A19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</w:pPr>
            <w:r w:rsidRPr="00FD7C6D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>Gamma completa di strumenti per approccio di chirurgia a singolo accesso</w:t>
            </w:r>
            <w:r w:rsidR="00AB4375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>,</w:t>
            </w:r>
            <w:r w:rsidRPr="00FD7C6D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 xml:space="preserve"> diametro 6 mm</w:t>
            </w:r>
            <w:r w:rsidR="00AD5A19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>,</w:t>
            </w:r>
            <w:r w:rsidRPr="00FD7C6D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 xml:space="preserve"> strumenti da taglio con tecnologia monopolare e bipolare</w:t>
            </w:r>
            <w:r w:rsidR="00AD5A19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 xml:space="preserve"> inclusi</w:t>
            </w:r>
          </w:p>
        </w:tc>
        <w:tc>
          <w:tcPr>
            <w:tcW w:w="831" w:type="dxa"/>
          </w:tcPr>
          <w:p w14:paraId="14ECE65B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5F4DE26F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49F4B110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7AA50430" w14:textId="77777777" w:rsidTr="004D27DA">
        <w:tc>
          <w:tcPr>
            <w:tcW w:w="1985" w:type="dxa"/>
            <w:vMerge/>
          </w:tcPr>
          <w:p w14:paraId="79CFF498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39E77337" w14:textId="7D3AEC68" w:rsidR="006F7C0B" w:rsidRPr="00FD7C6D" w:rsidRDefault="004E584F" w:rsidP="002D12E9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</w:pPr>
            <w:proofErr w:type="spellStart"/>
            <w:r w:rsidRPr="00FD7C6D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>Trocar</w:t>
            </w:r>
            <w:proofErr w:type="spellEnd"/>
            <w:r w:rsidRPr="00FD7C6D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 xml:space="preserve"> unico da 25 mm con supporti di accesso per piccole e grandi incisioni </w:t>
            </w:r>
            <w:r w:rsidR="00A86889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>(</w:t>
            </w:r>
            <w:r w:rsidRPr="00FD7C6D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>da 2,7 cm a 11 cm</w:t>
            </w:r>
            <w:r w:rsidR="00A86889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>)</w:t>
            </w:r>
          </w:p>
        </w:tc>
        <w:tc>
          <w:tcPr>
            <w:tcW w:w="831" w:type="dxa"/>
          </w:tcPr>
          <w:p w14:paraId="7F3BD287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3508852C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22E9B3D7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711E0476" w14:textId="77777777" w:rsidTr="004D27DA">
        <w:tc>
          <w:tcPr>
            <w:tcW w:w="1985" w:type="dxa"/>
            <w:vMerge/>
          </w:tcPr>
          <w:p w14:paraId="279E9169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093D393F" w14:textId="41E8B3FD" w:rsidR="006F7C0B" w:rsidRPr="00FD7C6D" w:rsidRDefault="004E584F" w:rsidP="00036874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</w:pPr>
            <w:r w:rsidRPr="00FD7C6D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 xml:space="preserve">Accensione e spegnimento </w:t>
            </w:r>
            <w:r w:rsidR="00036874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>s</w:t>
            </w:r>
            <w:r w:rsidRPr="00FD7C6D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>incronizzati di tutto il sistema di chirurgia robotica</w:t>
            </w:r>
            <w:r w:rsidR="00036874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 xml:space="preserve"> (</w:t>
            </w:r>
            <w:r w:rsidRPr="00FD7C6D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>per velocizzare i</w:t>
            </w:r>
            <w:r w:rsidR="00036874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Pr="00FD7C6D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>tempi di preparazione di sala operatoria</w:t>
            </w:r>
            <w:r w:rsidR="00036874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>)</w:t>
            </w:r>
          </w:p>
        </w:tc>
        <w:tc>
          <w:tcPr>
            <w:tcW w:w="831" w:type="dxa"/>
          </w:tcPr>
          <w:p w14:paraId="0CC9E009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37A46AF3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39A7B02A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4E584F" w:rsidRPr="00BB17C7" w14:paraId="492117F4" w14:textId="77777777" w:rsidTr="004D27DA">
        <w:tc>
          <w:tcPr>
            <w:tcW w:w="1985" w:type="dxa"/>
            <w:vMerge/>
          </w:tcPr>
          <w:p w14:paraId="2C089B2B" w14:textId="77777777" w:rsidR="004E584F" w:rsidRPr="00BB17C7" w:rsidRDefault="004E584F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hd w:val="clear" w:color="auto" w:fill="FFFFFF"/>
              </w:rPr>
            </w:pPr>
          </w:p>
        </w:tc>
        <w:tc>
          <w:tcPr>
            <w:tcW w:w="3441" w:type="dxa"/>
          </w:tcPr>
          <w:p w14:paraId="61359AD5" w14:textId="4B059262" w:rsidR="004E584F" w:rsidRPr="00FD7C6D" w:rsidRDefault="004E584F" w:rsidP="00100AF6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</w:pPr>
            <w:r w:rsidRPr="00FD7C6D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 xml:space="preserve">Copertura sterile per colonna di sostegno </w:t>
            </w:r>
          </w:p>
        </w:tc>
        <w:tc>
          <w:tcPr>
            <w:tcW w:w="831" w:type="dxa"/>
          </w:tcPr>
          <w:p w14:paraId="6081D1E4" w14:textId="77777777" w:rsidR="004E584F" w:rsidRPr="00BB17C7" w:rsidRDefault="004E584F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hd w:val="clear" w:color="auto" w:fill="FFFFFF"/>
              </w:rPr>
            </w:pPr>
          </w:p>
        </w:tc>
        <w:tc>
          <w:tcPr>
            <w:tcW w:w="783" w:type="dxa"/>
          </w:tcPr>
          <w:p w14:paraId="6F5E02F9" w14:textId="77777777" w:rsidR="004E584F" w:rsidRPr="00BB17C7" w:rsidRDefault="004E584F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hd w:val="clear" w:color="auto" w:fill="FFFFFF"/>
              </w:rPr>
            </w:pPr>
          </w:p>
        </w:tc>
        <w:tc>
          <w:tcPr>
            <w:tcW w:w="4301" w:type="dxa"/>
          </w:tcPr>
          <w:p w14:paraId="04A500EC" w14:textId="77777777" w:rsidR="004E584F" w:rsidRPr="00BB17C7" w:rsidRDefault="004E584F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hd w:val="clear" w:color="auto" w:fill="FFFFFF"/>
              </w:rPr>
            </w:pPr>
          </w:p>
        </w:tc>
      </w:tr>
      <w:tr w:rsidR="004E584F" w:rsidRPr="00BB17C7" w14:paraId="2046849A" w14:textId="77777777" w:rsidTr="004D27DA">
        <w:tc>
          <w:tcPr>
            <w:tcW w:w="1985" w:type="dxa"/>
            <w:vMerge/>
          </w:tcPr>
          <w:p w14:paraId="3FCF0E16" w14:textId="77777777" w:rsidR="004E584F" w:rsidRPr="00BB17C7" w:rsidRDefault="004E584F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hd w:val="clear" w:color="auto" w:fill="FFFFFF"/>
              </w:rPr>
            </w:pPr>
          </w:p>
        </w:tc>
        <w:tc>
          <w:tcPr>
            <w:tcW w:w="3441" w:type="dxa"/>
          </w:tcPr>
          <w:p w14:paraId="055C2F3F" w14:textId="6C174177" w:rsidR="004E584F" w:rsidRPr="00FD7C6D" w:rsidRDefault="004E584F" w:rsidP="00100AF6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</w:pPr>
            <w:r w:rsidRPr="00FD7C6D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>Valvole monouso</w:t>
            </w:r>
          </w:p>
        </w:tc>
        <w:tc>
          <w:tcPr>
            <w:tcW w:w="831" w:type="dxa"/>
          </w:tcPr>
          <w:p w14:paraId="3C8D41C7" w14:textId="77777777" w:rsidR="004E584F" w:rsidRPr="00BB17C7" w:rsidRDefault="004E584F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hd w:val="clear" w:color="auto" w:fill="FFFFFF"/>
              </w:rPr>
            </w:pPr>
          </w:p>
        </w:tc>
        <w:tc>
          <w:tcPr>
            <w:tcW w:w="783" w:type="dxa"/>
          </w:tcPr>
          <w:p w14:paraId="12214A7C" w14:textId="77777777" w:rsidR="004E584F" w:rsidRPr="00BB17C7" w:rsidRDefault="004E584F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hd w:val="clear" w:color="auto" w:fill="FFFFFF"/>
              </w:rPr>
            </w:pPr>
          </w:p>
        </w:tc>
        <w:tc>
          <w:tcPr>
            <w:tcW w:w="4301" w:type="dxa"/>
          </w:tcPr>
          <w:p w14:paraId="22332CB3" w14:textId="77777777" w:rsidR="004E584F" w:rsidRPr="00BB17C7" w:rsidRDefault="004E584F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hd w:val="clear" w:color="auto" w:fill="FFFFFF"/>
              </w:rPr>
            </w:pPr>
          </w:p>
        </w:tc>
      </w:tr>
      <w:tr w:rsidR="006F7C0B" w:rsidRPr="00BB17C7" w14:paraId="62708060" w14:textId="77777777" w:rsidTr="004D27DA">
        <w:tc>
          <w:tcPr>
            <w:tcW w:w="1985" w:type="dxa"/>
            <w:vMerge/>
          </w:tcPr>
          <w:p w14:paraId="279E0E77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666B4AEE" w14:textId="0BBCAED9" w:rsidR="006F7C0B" w:rsidRPr="00FD7C6D" w:rsidRDefault="004E584F" w:rsidP="00100AF6">
            <w:pPr>
              <w:autoSpaceDE w:val="0"/>
              <w:autoSpaceDN w:val="0"/>
              <w:adjustRightInd w:val="0"/>
              <w:spacing w:before="120" w:after="120"/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</w:pPr>
            <w:r w:rsidRPr="00FD7C6D">
              <w:rPr>
                <w:rFonts w:ascii="Garamond" w:hAnsi="Garamond" w:cs="Calibri"/>
                <w:bCs/>
                <w:color w:val="000000"/>
                <w:sz w:val="22"/>
                <w:szCs w:val="22"/>
                <w:lang w:eastAsia="en-US"/>
                <w14:ligatures w14:val="standardContextual"/>
              </w:rPr>
              <w:t>Garanzia di sterilità</w:t>
            </w:r>
          </w:p>
        </w:tc>
        <w:tc>
          <w:tcPr>
            <w:tcW w:w="831" w:type="dxa"/>
          </w:tcPr>
          <w:p w14:paraId="3D2688C4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0A59AE28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2D7AFE0A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2F1AE585" w14:textId="77777777" w:rsidR="0028655A" w:rsidRDefault="0028655A"/>
    <w:sectPr w:rsidR="0028655A" w:rsidSect="00FA48FF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F1F7D" w14:textId="77777777" w:rsidR="005C2F8D" w:rsidRDefault="005C2F8D" w:rsidP="005C2F8D">
      <w:r>
        <w:separator/>
      </w:r>
    </w:p>
  </w:endnote>
  <w:endnote w:type="continuationSeparator" w:id="0">
    <w:p w14:paraId="090B4ED4" w14:textId="77777777" w:rsidR="005C2F8D" w:rsidRDefault="005C2F8D" w:rsidP="005C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9B60B" w14:textId="77777777" w:rsidR="005C2F8D" w:rsidRDefault="005C2F8D" w:rsidP="005C2F8D">
      <w:r>
        <w:separator/>
      </w:r>
    </w:p>
  </w:footnote>
  <w:footnote w:type="continuationSeparator" w:id="0">
    <w:p w14:paraId="22566AD4" w14:textId="77777777" w:rsidR="005C2F8D" w:rsidRDefault="005C2F8D" w:rsidP="005C2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9CDF2" w14:textId="36115C6F" w:rsidR="005C2F8D" w:rsidRDefault="005C2F8D" w:rsidP="005C2F8D">
    <w:pPr>
      <w:pStyle w:val="Intestazione"/>
      <w:jc w:val="right"/>
    </w:pPr>
    <w:r>
      <w:t>ALL.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563C7"/>
    <w:multiLevelType w:val="hybridMultilevel"/>
    <w:tmpl w:val="10446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77516"/>
    <w:multiLevelType w:val="hybridMultilevel"/>
    <w:tmpl w:val="851865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70F37"/>
    <w:multiLevelType w:val="hybridMultilevel"/>
    <w:tmpl w:val="BF56FE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AAA27834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21526B"/>
    <w:multiLevelType w:val="hybridMultilevel"/>
    <w:tmpl w:val="CE52C02A"/>
    <w:lvl w:ilvl="0" w:tplc="9F8C3378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F62939"/>
    <w:multiLevelType w:val="hybridMultilevel"/>
    <w:tmpl w:val="95C661C0"/>
    <w:lvl w:ilvl="0" w:tplc="83E696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D447B"/>
    <w:multiLevelType w:val="hybridMultilevel"/>
    <w:tmpl w:val="3D1EFD12"/>
    <w:lvl w:ilvl="0" w:tplc="B20ACA66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253831">
    <w:abstractNumId w:val="3"/>
  </w:num>
  <w:num w:numId="2" w16cid:durableId="1440568504">
    <w:abstractNumId w:val="5"/>
  </w:num>
  <w:num w:numId="3" w16cid:durableId="934287161">
    <w:abstractNumId w:val="1"/>
  </w:num>
  <w:num w:numId="4" w16cid:durableId="671877941">
    <w:abstractNumId w:val="0"/>
  </w:num>
  <w:num w:numId="5" w16cid:durableId="1163357209">
    <w:abstractNumId w:val="4"/>
  </w:num>
  <w:num w:numId="6" w16cid:durableId="182668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7D"/>
    <w:rsid w:val="00036874"/>
    <w:rsid w:val="000572FB"/>
    <w:rsid w:val="00100AF6"/>
    <w:rsid w:val="001E467E"/>
    <w:rsid w:val="001F4869"/>
    <w:rsid w:val="002303D5"/>
    <w:rsid w:val="0028655A"/>
    <w:rsid w:val="002D12E9"/>
    <w:rsid w:val="002D1AF3"/>
    <w:rsid w:val="002D3E0E"/>
    <w:rsid w:val="003B53F9"/>
    <w:rsid w:val="003C7EC9"/>
    <w:rsid w:val="004327B5"/>
    <w:rsid w:val="00465FB7"/>
    <w:rsid w:val="00474A69"/>
    <w:rsid w:val="004E584F"/>
    <w:rsid w:val="00575FF7"/>
    <w:rsid w:val="00590D0B"/>
    <w:rsid w:val="005C2F8D"/>
    <w:rsid w:val="006A5F8D"/>
    <w:rsid w:val="006A6ED6"/>
    <w:rsid w:val="006A7DA0"/>
    <w:rsid w:val="006E0A16"/>
    <w:rsid w:val="006F7C0B"/>
    <w:rsid w:val="008A6973"/>
    <w:rsid w:val="00953100"/>
    <w:rsid w:val="009D3BE6"/>
    <w:rsid w:val="009E7783"/>
    <w:rsid w:val="00A86889"/>
    <w:rsid w:val="00A95B7D"/>
    <w:rsid w:val="00AB4375"/>
    <w:rsid w:val="00AD5A19"/>
    <w:rsid w:val="00B32143"/>
    <w:rsid w:val="00B75C61"/>
    <w:rsid w:val="00B9371C"/>
    <w:rsid w:val="00C00E70"/>
    <w:rsid w:val="00C208A3"/>
    <w:rsid w:val="00C66366"/>
    <w:rsid w:val="00CD5BE1"/>
    <w:rsid w:val="00D16B54"/>
    <w:rsid w:val="00D75070"/>
    <w:rsid w:val="00DB36BB"/>
    <w:rsid w:val="00DB3E83"/>
    <w:rsid w:val="00DD0F70"/>
    <w:rsid w:val="00E41E1B"/>
    <w:rsid w:val="00F050B6"/>
    <w:rsid w:val="00F5600D"/>
    <w:rsid w:val="00FA48FF"/>
    <w:rsid w:val="00FB7F3B"/>
    <w:rsid w:val="00FD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6556"/>
  <w15:chartTrackingRefBased/>
  <w15:docId w15:val="{4B0F1364-52A7-A346-B17D-0E13F268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A95B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95B7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5B7D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A95B7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F7C0B"/>
    <w:pPr>
      <w:spacing w:after="200" w:line="276" w:lineRule="auto"/>
      <w:ind w:left="720"/>
      <w:contextualSpacing/>
      <w:jc w:val="right"/>
    </w:pPr>
    <w:rPr>
      <w:rFonts w:ascii="Calibri" w:eastAsia="Calibri" w:hAnsi="Calibri" w:cs="Times New Roman"/>
      <w:sz w:val="22"/>
      <w:szCs w:val="22"/>
    </w:rPr>
  </w:style>
  <w:style w:type="table" w:styleId="Grigliatabella">
    <w:name w:val="Table Grid"/>
    <w:basedOn w:val="Tabellanormale"/>
    <w:uiPriority w:val="59"/>
    <w:rsid w:val="006F7C0B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C2F8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2F8D"/>
  </w:style>
  <w:style w:type="paragraph" w:styleId="Pidipagina">
    <w:name w:val="footer"/>
    <w:basedOn w:val="Normale"/>
    <w:link w:val="PidipaginaCarattere"/>
    <w:uiPriority w:val="99"/>
    <w:unhideWhenUsed/>
    <w:rsid w:val="005C2F8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2F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NAVANTERI GIUSEPPE</dc:creator>
  <cp:keywords/>
  <dc:description/>
  <cp:lastModifiedBy>PAPALEO EUGENIA</cp:lastModifiedBy>
  <cp:revision>42</cp:revision>
  <dcterms:created xsi:type="dcterms:W3CDTF">2020-10-12T11:20:00Z</dcterms:created>
  <dcterms:modified xsi:type="dcterms:W3CDTF">2023-12-12T12:25:00Z</dcterms:modified>
</cp:coreProperties>
</file>