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B7" w:rsidRDefault="00C861B7" w:rsidP="006C5E74">
      <w:pPr>
        <w:ind w:left="-567"/>
        <w:jc w:val="center"/>
        <w:rPr>
          <w:rFonts w:ascii="Calibri" w:hAnsi="Calibri"/>
          <w:b/>
          <w:bCs/>
          <w:color w:val="000000"/>
          <w:spacing w:val="40"/>
          <w:sz w:val="36"/>
          <w:szCs w:val="36"/>
        </w:rPr>
      </w:pPr>
    </w:p>
    <w:p w:rsidR="004F0F5A" w:rsidRPr="00677132" w:rsidRDefault="004F0F5A" w:rsidP="007D0952">
      <w:pPr>
        <w:ind w:left="-567"/>
        <w:jc w:val="center"/>
        <w:rPr>
          <w:rFonts w:ascii="Calibri" w:hAnsi="Calibri"/>
          <w:b/>
          <w:bCs/>
          <w:color w:val="000000"/>
          <w:spacing w:val="40"/>
          <w:sz w:val="36"/>
          <w:szCs w:val="36"/>
        </w:rPr>
      </w:pPr>
      <w:r w:rsidRPr="00677132">
        <w:rPr>
          <w:rFonts w:ascii="Calibri" w:hAnsi="Calibri"/>
          <w:b/>
          <w:bCs/>
          <w:color w:val="000000"/>
          <w:spacing w:val="40"/>
          <w:sz w:val="36"/>
          <w:szCs w:val="36"/>
        </w:rPr>
        <w:t>ALCUNE ECCELLENZE DEL</w:t>
      </w:r>
      <w:r>
        <w:rPr>
          <w:rFonts w:ascii="Calibri" w:hAnsi="Calibri"/>
          <w:b/>
          <w:bCs/>
          <w:color w:val="000000"/>
          <w:spacing w:val="40"/>
          <w:sz w:val="36"/>
          <w:szCs w:val="36"/>
        </w:rPr>
        <w:t xml:space="preserve"> SAN GALLICANO</w:t>
      </w:r>
    </w:p>
    <w:p w:rsidR="004F0F5A" w:rsidRDefault="004F0F5A" w:rsidP="006C5E74">
      <w:pPr>
        <w:ind w:left="-567"/>
        <w:jc w:val="both"/>
        <w:rPr>
          <w:rFonts w:ascii="Calibri" w:hAnsi="Calibri"/>
        </w:rPr>
      </w:pPr>
    </w:p>
    <w:p w:rsidR="004F0F5A" w:rsidRDefault="004F0F5A" w:rsidP="006C5E74">
      <w:pPr>
        <w:ind w:left="-567"/>
        <w:jc w:val="both"/>
        <w:rPr>
          <w:rFonts w:ascii="Calibri" w:hAnsi="Calibri"/>
        </w:rPr>
      </w:pPr>
    </w:p>
    <w:p w:rsidR="007D0952" w:rsidRPr="00BC2748" w:rsidRDefault="007D0952" w:rsidP="007D0952">
      <w:pPr>
        <w:widowControl w:val="0"/>
        <w:autoSpaceDE w:val="0"/>
        <w:autoSpaceDN w:val="0"/>
        <w:adjustRightInd w:val="0"/>
        <w:spacing w:line="276" w:lineRule="auto"/>
        <w:jc w:val="both"/>
        <w:rPr>
          <w:rFonts w:ascii="Calibri" w:hAnsi="Calibri"/>
          <w:lang w:eastAsia="it-IT"/>
        </w:rPr>
      </w:pPr>
      <w:r w:rsidRPr="00BC2748">
        <w:rPr>
          <w:rFonts w:ascii="Calibri" w:hAnsi="Calibri"/>
          <w:lang w:eastAsia="it-IT"/>
        </w:rPr>
        <w:t xml:space="preserve">Le attività dell’Istituto sono rivolte alle patologie dermatologiche </w:t>
      </w:r>
      <w:proofErr w:type="spellStart"/>
      <w:r w:rsidRPr="00BC2748">
        <w:rPr>
          <w:rFonts w:ascii="Calibri" w:hAnsi="Calibri"/>
          <w:lang w:eastAsia="it-IT"/>
        </w:rPr>
        <w:t>immuno</w:t>
      </w:r>
      <w:proofErr w:type="spellEnd"/>
      <w:r w:rsidRPr="00BC2748">
        <w:rPr>
          <w:rFonts w:ascii="Calibri" w:hAnsi="Calibri"/>
          <w:lang w:eastAsia="it-IT"/>
        </w:rPr>
        <w:t xml:space="preserve">-infiammatorie, oncologiche, allergologiche ed infettive con servizi di degenza ordinaria, di </w:t>
      </w:r>
      <w:proofErr w:type="spellStart"/>
      <w:r w:rsidRPr="00BC2748">
        <w:rPr>
          <w:rFonts w:ascii="Calibri" w:hAnsi="Calibri"/>
          <w:lang w:eastAsia="it-IT"/>
        </w:rPr>
        <w:t>day</w:t>
      </w:r>
      <w:proofErr w:type="spellEnd"/>
      <w:r w:rsidRPr="00BC2748">
        <w:rPr>
          <w:rFonts w:ascii="Calibri" w:hAnsi="Calibri"/>
          <w:lang w:eastAsia="it-IT"/>
        </w:rPr>
        <w:t xml:space="preserve"> hospital e di </w:t>
      </w:r>
      <w:proofErr w:type="spellStart"/>
      <w:r w:rsidRPr="00BC2748">
        <w:rPr>
          <w:rFonts w:ascii="Calibri" w:hAnsi="Calibri"/>
          <w:lang w:eastAsia="it-IT"/>
        </w:rPr>
        <w:t>day</w:t>
      </w:r>
      <w:proofErr w:type="spellEnd"/>
      <w:r w:rsidRPr="00BC2748">
        <w:rPr>
          <w:rFonts w:ascii="Calibri" w:hAnsi="Calibri"/>
          <w:lang w:eastAsia="it-IT"/>
        </w:rPr>
        <w:t xml:space="preserve"> </w:t>
      </w:r>
      <w:proofErr w:type="spellStart"/>
      <w:r w:rsidRPr="00BC2748">
        <w:rPr>
          <w:rFonts w:ascii="Calibri" w:hAnsi="Calibri"/>
          <w:lang w:eastAsia="it-IT"/>
        </w:rPr>
        <w:t>surgery</w:t>
      </w:r>
      <w:proofErr w:type="spellEnd"/>
      <w:r w:rsidRPr="00BC2748">
        <w:rPr>
          <w:rFonts w:ascii="Calibri" w:hAnsi="Calibri"/>
          <w:lang w:eastAsia="it-IT"/>
        </w:rPr>
        <w:t xml:space="preserve">. Significative sono le attività dedicate all’oncologia dermatologica per la diagnosi precoce ed il trattamento delle lesioni tumorali primitive cutanee che si avvale di </w:t>
      </w:r>
      <w:r w:rsidRPr="00BC2748">
        <w:rPr>
          <w:rFonts w:ascii="Calibri" w:hAnsi="Calibri"/>
          <w:b/>
          <w:lang w:eastAsia="it-IT"/>
        </w:rPr>
        <w:t>metodiche diagnostiche non invasive</w:t>
      </w:r>
      <w:r w:rsidRPr="00BC2748">
        <w:rPr>
          <w:rFonts w:ascii="Calibri" w:hAnsi="Calibri"/>
          <w:lang w:eastAsia="it-IT"/>
        </w:rPr>
        <w:t xml:space="preserve"> come la microscopia in </w:t>
      </w:r>
      <w:proofErr w:type="spellStart"/>
      <w:r w:rsidRPr="00BC2748">
        <w:rPr>
          <w:rFonts w:ascii="Calibri" w:hAnsi="Calibri"/>
          <w:lang w:eastAsia="it-IT"/>
        </w:rPr>
        <w:t>epiluminescenza</w:t>
      </w:r>
      <w:proofErr w:type="spellEnd"/>
      <w:r w:rsidRPr="00BC2748">
        <w:rPr>
          <w:rFonts w:ascii="Calibri" w:hAnsi="Calibri"/>
          <w:lang w:eastAsia="it-IT"/>
        </w:rPr>
        <w:t xml:space="preserve"> computerizzata. Il trattamento chirurgico demolitivo e ricostruttivo di tutte le patologie tumorali cutanee e dei tessuti molli è garantito dalle attività di Chirurgia Plastica che prevedono anche la ricerca del linfonodo sentinella secondo i protocolli oncologici internazionali. In linea con gli indirizzi e la programmazione regionale e nazionale, l’attività clinico-assistenziale è rivolta alla presa in carico della persona attraverso la definizione di percorsi diagnostico-terapeutici.</w:t>
      </w:r>
    </w:p>
    <w:p w:rsidR="007D0952" w:rsidRPr="00BC2748" w:rsidRDefault="007D0952" w:rsidP="007D0952">
      <w:pPr>
        <w:widowControl w:val="0"/>
        <w:autoSpaceDE w:val="0"/>
        <w:autoSpaceDN w:val="0"/>
        <w:adjustRightInd w:val="0"/>
        <w:spacing w:line="276" w:lineRule="auto"/>
        <w:jc w:val="both"/>
        <w:rPr>
          <w:rFonts w:ascii="Calibri" w:hAnsi="Calibri"/>
          <w:lang w:eastAsia="it-IT"/>
        </w:rPr>
      </w:pPr>
      <w:r w:rsidRPr="00BC2748">
        <w:rPr>
          <w:rFonts w:ascii="Calibri" w:hAnsi="Calibri"/>
          <w:lang w:eastAsia="it-IT"/>
        </w:rPr>
        <w:t>In accordo con la programmazione sanitaria nazionale, l'attività di ricerca ISG integra sinergicamente l'attività assistenziale con la ricerca clinica e traslazionale, definendo un approccio integrato e multidisciplinare per la gestione del paziente.</w:t>
      </w:r>
    </w:p>
    <w:p w:rsidR="007D0952" w:rsidRDefault="007D0952" w:rsidP="007D0952">
      <w:pPr>
        <w:widowControl w:val="0"/>
        <w:autoSpaceDE w:val="0"/>
        <w:autoSpaceDN w:val="0"/>
        <w:adjustRightInd w:val="0"/>
        <w:spacing w:line="276" w:lineRule="auto"/>
        <w:jc w:val="both"/>
        <w:rPr>
          <w:rFonts w:ascii="Calibri" w:hAnsi="Calibri"/>
          <w:lang w:eastAsia="it-IT"/>
        </w:rPr>
      </w:pPr>
    </w:p>
    <w:p w:rsidR="007D0952" w:rsidRPr="00BC2748" w:rsidRDefault="007D0952" w:rsidP="007D0952">
      <w:pPr>
        <w:widowControl w:val="0"/>
        <w:autoSpaceDE w:val="0"/>
        <w:autoSpaceDN w:val="0"/>
        <w:adjustRightInd w:val="0"/>
        <w:spacing w:line="276" w:lineRule="auto"/>
        <w:jc w:val="both"/>
        <w:rPr>
          <w:rFonts w:ascii="Calibri" w:hAnsi="Calibri"/>
          <w:lang w:eastAsia="it-IT"/>
        </w:rPr>
      </w:pPr>
      <w:r w:rsidRPr="00BC2748">
        <w:rPr>
          <w:rFonts w:ascii="Calibri" w:hAnsi="Calibri"/>
          <w:lang w:eastAsia="it-IT"/>
        </w:rPr>
        <w:t xml:space="preserve">Le macro-aree sperimentali incentrate sulla dermatologia sono: </w:t>
      </w:r>
    </w:p>
    <w:p w:rsidR="007D0952" w:rsidRPr="007D0952" w:rsidRDefault="007D0952" w:rsidP="007D0952">
      <w:pPr>
        <w:pStyle w:val="Paragrafoelenco"/>
        <w:widowControl w:val="0"/>
        <w:numPr>
          <w:ilvl w:val="0"/>
          <w:numId w:val="9"/>
        </w:numPr>
        <w:autoSpaceDE w:val="0"/>
        <w:autoSpaceDN w:val="0"/>
        <w:adjustRightInd w:val="0"/>
        <w:spacing w:line="276" w:lineRule="auto"/>
        <w:jc w:val="both"/>
        <w:rPr>
          <w:rFonts w:ascii="Calibri" w:hAnsi="Calibri"/>
          <w:lang w:eastAsia="it-IT"/>
        </w:rPr>
      </w:pPr>
      <w:r w:rsidRPr="007D0952">
        <w:rPr>
          <w:rFonts w:ascii="Calibri" w:hAnsi="Calibri"/>
          <w:lang w:eastAsia="it-IT"/>
        </w:rPr>
        <w:t xml:space="preserve">Basi molecolari e cellulari per la ricerca traslazionale in dermatologia </w:t>
      </w:r>
    </w:p>
    <w:p w:rsidR="007D0952" w:rsidRPr="007D0952" w:rsidRDefault="007D0952" w:rsidP="007D0952">
      <w:pPr>
        <w:pStyle w:val="Paragrafoelenco"/>
        <w:widowControl w:val="0"/>
        <w:numPr>
          <w:ilvl w:val="0"/>
          <w:numId w:val="9"/>
        </w:numPr>
        <w:autoSpaceDE w:val="0"/>
        <w:autoSpaceDN w:val="0"/>
        <w:adjustRightInd w:val="0"/>
        <w:spacing w:line="276" w:lineRule="auto"/>
        <w:jc w:val="both"/>
        <w:rPr>
          <w:rFonts w:ascii="Calibri" w:hAnsi="Calibri"/>
          <w:lang w:eastAsia="it-IT"/>
        </w:rPr>
      </w:pPr>
      <w:r w:rsidRPr="007D0952">
        <w:rPr>
          <w:rFonts w:ascii="Calibri" w:hAnsi="Calibri"/>
          <w:lang w:eastAsia="it-IT"/>
        </w:rPr>
        <w:t>Approcci innovativi nelle classificazioni diagnostiche e prognostiche del paziente dermatologico</w:t>
      </w:r>
    </w:p>
    <w:p w:rsidR="007D0952" w:rsidRPr="007D0952" w:rsidRDefault="007D0952" w:rsidP="007D0952">
      <w:pPr>
        <w:pStyle w:val="Paragrafoelenco"/>
        <w:widowControl w:val="0"/>
        <w:numPr>
          <w:ilvl w:val="0"/>
          <w:numId w:val="9"/>
        </w:numPr>
        <w:autoSpaceDE w:val="0"/>
        <w:autoSpaceDN w:val="0"/>
        <w:adjustRightInd w:val="0"/>
        <w:spacing w:line="276" w:lineRule="auto"/>
        <w:jc w:val="both"/>
        <w:rPr>
          <w:rFonts w:ascii="Calibri" w:hAnsi="Calibri"/>
          <w:lang w:eastAsia="it-IT"/>
        </w:rPr>
      </w:pPr>
      <w:r w:rsidRPr="007D0952">
        <w:rPr>
          <w:rFonts w:ascii="Calibri" w:hAnsi="Calibri"/>
          <w:lang w:eastAsia="it-IT"/>
        </w:rPr>
        <w:t>Terapie innovative in ambito dermatologico</w:t>
      </w:r>
    </w:p>
    <w:p w:rsidR="007D0952" w:rsidRDefault="007D0952" w:rsidP="007D0952">
      <w:pPr>
        <w:pStyle w:val="Paragrafoelenco"/>
        <w:widowControl w:val="0"/>
        <w:numPr>
          <w:ilvl w:val="0"/>
          <w:numId w:val="9"/>
        </w:numPr>
        <w:autoSpaceDE w:val="0"/>
        <w:autoSpaceDN w:val="0"/>
        <w:adjustRightInd w:val="0"/>
        <w:spacing w:line="276" w:lineRule="auto"/>
        <w:jc w:val="both"/>
        <w:rPr>
          <w:rFonts w:ascii="Calibri" w:hAnsi="Calibri"/>
          <w:lang w:eastAsia="it-IT"/>
        </w:rPr>
      </w:pPr>
      <w:r w:rsidRPr="007D0952">
        <w:rPr>
          <w:rFonts w:ascii="Calibri" w:hAnsi="Calibri"/>
          <w:lang w:eastAsia="it-IT"/>
        </w:rPr>
        <w:t>Prevenzione e qualità di vita.</w:t>
      </w:r>
    </w:p>
    <w:p w:rsidR="007D0952" w:rsidRPr="007D0952" w:rsidRDefault="007D0952" w:rsidP="007D0952">
      <w:pPr>
        <w:pStyle w:val="Paragrafoelenco"/>
        <w:widowControl w:val="0"/>
        <w:autoSpaceDE w:val="0"/>
        <w:autoSpaceDN w:val="0"/>
        <w:adjustRightInd w:val="0"/>
        <w:spacing w:line="276" w:lineRule="auto"/>
        <w:jc w:val="both"/>
        <w:rPr>
          <w:rFonts w:ascii="Calibri" w:hAnsi="Calibri"/>
          <w:lang w:eastAsia="it-IT"/>
        </w:rPr>
      </w:pPr>
    </w:p>
    <w:p w:rsidR="007D0952" w:rsidRPr="00F275EA" w:rsidRDefault="007D0952" w:rsidP="007D0952">
      <w:pPr>
        <w:widowControl w:val="0"/>
        <w:autoSpaceDE w:val="0"/>
        <w:autoSpaceDN w:val="0"/>
        <w:adjustRightInd w:val="0"/>
        <w:spacing w:line="276" w:lineRule="auto"/>
        <w:jc w:val="both"/>
        <w:rPr>
          <w:rFonts w:ascii="Calibri" w:hAnsi="Calibri"/>
          <w:b/>
          <w:lang w:eastAsia="it-IT"/>
        </w:rPr>
      </w:pPr>
      <w:r w:rsidRPr="00BC2748">
        <w:rPr>
          <w:rFonts w:ascii="Calibri" w:hAnsi="Calibri"/>
          <w:lang w:eastAsia="it-IT"/>
        </w:rPr>
        <w:t xml:space="preserve">Diverse linee di ricerca sono condotte grazie ad una stretta interazione tra i </w:t>
      </w:r>
      <w:r w:rsidR="00044D2D">
        <w:rPr>
          <w:rFonts w:ascii="Calibri" w:hAnsi="Calibri"/>
          <w:b/>
          <w:lang w:eastAsia="it-IT"/>
        </w:rPr>
        <w:t>dermatologi</w:t>
      </w:r>
      <w:bookmarkStart w:id="0" w:name="_GoBack"/>
      <w:bookmarkEnd w:id="0"/>
      <w:r w:rsidRPr="00F275EA">
        <w:rPr>
          <w:rFonts w:ascii="Calibri" w:hAnsi="Calibri"/>
          <w:b/>
          <w:lang w:eastAsia="it-IT"/>
        </w:rPr>
        <w:t xml:space="preserve"> clinici ed il personale della ricerca in ambito di neoplasie cutanee (NMSC e melanomi</w:t>
      </w:r>
      <w:r w:rsidRPr="00BC2748">
        <w:rPr>
          <w:rFonts w:ascii="Calibri" w:hAnsi="Calibri"/>
          <w:lang w:eastAsia="it-IT"/>
        </w:rPr>
        <w:t xml:space="preserve">), </w:t>
      </w:r>
      <w:r w:rsidRPr="00F275EA">
        <w:rPr>
          <w:rFonts w:ascii="Calibri" w:hAnsi="Calibri"/>
          <w:b/>
          <w:lang w:eastAsia="it-IT"/>
        </w:rPr>
        <w:t xml:space="preserve">dermatiti infiammatorie e autoimmuni (psoriasi, acne, vitiligine, dermatiti allergiche, dermatiti professionali e ambientali), malattie sessualmente trasmesse, dermatosi HIV correlate, porfirie ed </w:t>
      </w:r>
      <w:proofErr w:type="spellStart"/>
      <w:r w:rsidRPr="00F275EA">
        <w:rPr>
          <w:rFonts w:ascii="Calibri" w:hAnsi="Calibri"/>
          <w:b/>
          <w:lang w:eastAsia="it-IT"/>
        </w:rPr>
        <w:t>emocromatosi</w:t>
      </w:r>
      <w:proofErr w:type="spellEnd"/>
      <w:r w:rsidRPr="00F275EA">
        <w:rPr>
          <w:rFonts w:ascii="Calibri" w:hAnsi="Calibri"/>
          <w:b/>
          <w:lang w:eastAsia="it-IT"/>
        </w:rPr>
        <w:t xml:space="preserve">. </w:t>
      </w:r>
      <w:r w:rsidRPr="00BC2748">
        <w:rPr>
          <w:rFonts w:ascii="Calibri" w:hAnsi="Calibri"/>
          <w:lang w:eastAsia="it-IT"/>
        </w:rPr>
        <w:t xml:space="preserve">Parte dell’attività di ricerca è rivolta allo sviluppo di </w:t>
      </w:r>
      <w:r w:rsidRPr="00F275EA">
        <w:rPr>
          <w:rFonts w:ascii="Calibri" w:hAnsi="Calibri"/>
          <w:b/>
          <w:lang w:eastAsia="it-IT"/>
        </w:rPr>
        <w:t>terapie vaccinali</w:t>
      </w:r>
      <w:r w:rsidRPr="00BC2748">
        <w:rPr>
          <w:rFonts w:ascii="Calibri" w:hAnsi="Calibri"/>
          <w:lang w:eastAsia="it-IT"/>
        </w:rPr>
        <w:t xml:space="preserve"> (</w:t>
      </w:r>
      <w:r w:rsidRPr="00F275EA">
        <w:rPr>
          <w:rFonts w:ascii="Calibri" w:hAnsi="Calibri"/>
          <w:b/>
          <w:lang w:eastAsia="it-IT"/>
        </w:rPr>
        <w:t>HIV E HPV</w:t>
      </w:r>
      <w:r w:rsidRPr="00BC2748">
        <w:rPr>
          <w:rFonts w:ascii="Calibri" w:hAnsi="Calibri"/>
          <w:lang w:eastAsia="it-IT"/>
        </w:rPr>
        <w:t xml:space="preserve">) e all’erogazione di prestazioni di alta qualificazione quali la rigenerazione tissutale (ulcere, malattie dermatologiche degenerative, esiti di radioterapie, ecc.) e la terapia cellulare della </w:t>
      </w:r>
      <w:r w:rsidRPr="00F275EA">
        <w:rPr>
          <w:rFonts w:ascii="Calibri" w:hAnsi="Calibri"/>
          <w:b/>
          <w:lang w:eastAsia="it-IT"/>
        </w:rPr>
        <w:t>vitiligine con trapianto autologo di melanociti.</w:t>
      </w:r>
    </w:p>
    <w:p w:rsidR="007D0952" w:rsidRPr="00BC2748" w:rsidRDefault="007D0952" w:rsidP="007D0952">
      <w:pPr>
        <w:spacing w:line="276" w:lineRule="auto"/>
        <w:jc w:val="both"/>
        <w:rPr>
          <w:rFonts w:ascii="Calibri" w:hAnsi="Calibri"/>
          <w:lang w:eastAsia="it-IT"/>
        </w:rPr>
      </w:pPr>
      <w:r w:rsidRPr="00BC2748">
        <w:rPr>
          <w:rFonts w:ascii="Calibri" w:hAnsi="Calibri"/>
          <w:lang w:eastAsia="it-IT"/>
        </w:rPr>
        <w:t xml:space="preserve">Lo scambio continuo tra le aree cliniche e quelle sperimentali consente l’accesso a campioni di diversa natura ed al trasferimento di risultati. Negli ultimi anni si stanno focalizzando gli sforzi nella definizione di nuovi metodi non invasivi di indagine sul paziente. In particolare, il disegno di metodi analitici innovativi ha consentito di mettere a punto diversi approcci per lo studio del </w:t>
      </w:r>
      <w:proofErr w:type="spellStart"/>
      <w:r w:rsidRPr="00BC2748">
        <w:rPr>
          <w:rFonts w:ascii="Calibri" w:hAnsi="Calibri"/>
          <w:lang w:eastAsia="it-IT"/>
        </w:rPr>
        <w:t>lipidoma</w:t>
      </w:r>
      <w:proofErr w:type="spellEnd"/>
      <w:r w:rsidRPr="00BC2748">
        <w:rPr>
          <w:rFonts w:ascii="Calibri" w:hAnsi="Calibri"/>
          <w:lang w:eastAsia="it-IT"/>
        </w:rPr>
        <w:t xml:space="preserve"> cutaneo in campioni di sebo e strato corneo il cui prelievo non presenta alcuna invasività o disagio per il paziente. La prospettiva futura è quella di fornire ai pazienti un </w:t>
      </w:r>
      <w:r w:rsidRPr="00F275EA">
        <w:rPr>
          <w:rFonts w:ascii="Calibri" w:hAnsi="Calibri"/>
          <w:b/>
          <w:lang w:eastAsia="it-IT"/>
        </w:rPr>
        <w:t xml:space="preserve">servizio di medicina personalizzata </w:t>
      </w:r>
      <w:r w:rsidRPr="00BC2748">
        <w:rPr>
          <w:rFonts w:ascii="Calibri" w:hAnsi="Calibri"/>
          <w:lang w:eastAsia="it-IT"/>
        </w:rPr>
        <w:t xml:space="preserve">attraverso nuovi percorsi diagnostici e terapie innovative e, nello stesso tempo, ottimizzare le terapie esistenti attraverso l'impiego di </w:t>
      </w:r>
      <w:proofErr w:type="spellStart"/>
      <w:r w:rsidRPr="00BC2748">
        <w:rPr>
          <w:rFonts w:ascii="Calibri" w:hAnsi="Calibri"/>
          <w:lang w:eastAsia="it-IT"/>
        </w:rPr>
        <w:t>biomarcatori</w:t>
      </w:r>
      <w:proofErr w:type="spellEnd"/>
      <w:r w:rsidRPr="00BC2748">
        <w:rPr>
          <w:rFonts w:ascii="Calibri" w:hAnsi="Calibri"/>
          <w:lang w:eastAsia="it-IT"/>
        </w:rPr>
        <w:t xml:space="preserve"> cutanei che permettano di </w:t>
      </w:r>
      <w:r w:rsidRPr="00BC2748">
        <w:rPr>
          <w:rFonts w:ascii="Calibri" w:hAnsi="Calibri"/>
          <w:lang w:eastAsia="it-IT"/>
        </w:rPr>
        <w:lastRenderedPageBreak/>
        <w:t xml:space="preserve">individuare il trattamento più efficace per ciascun paziente. L'ISG rappresenta un centro di riferimento nazionale per la diagnosi e la cura delle patologie dermatologiche e a trasmissione sessuale. L'ISG opera costantemente della diffusione dell’informazione sul territorio, integrando in rete la propria attività attraverso la partecipazione a “Reti integrate Interaziendali”, dove la </w:t>
      </w:r>
      <w:r w:rsidRPr="00BC2748">
        <w:rPr>
          <w:rFonts w:ascii="Calibri" w:hAnsi="Calibri"/>
          <w:b/>
          <w:lang w:eastAsia="it-IT"/>
        </w:rPr>
        <w:t>Melanoma Unit</w:t>
      </w:r>
      <w:r w:rsidRPr="00BC2748">
        <w:rPr>
          <w:rFonts w:ascii="Calibri" w:hAnsi="Calibri"/>
          <w:lang w:eastAsia="it-IT"/>
        </w:rPr>
        <w:t xml:space="preserve"> svolge il ruolo di </w:t>
      </w:r>
      <w:proofErr w:type="spellStart"/>
      <w:r w:rsidRPr="00BC2748">
        <w:rPr>
          <w:rFonts w:ascii="Calibri" w:hAnsi="Calibri"/>
          <w:lang w:eastAsia="it-IT"/>
        </w:rPr>
        <w:t>hub</w:t>
      </w:r>
      <w:proofErr w:type="spellEnd"/>
      <w:r w:rsidRPr="00BC2748">
        <w:rPr>
          <w:rFonts w:ascii="Calibri" w:hAnsi="Calibri"/>
          <w:lang w:eastAsia="it-IT"/>
        </w:rPr>
        <w:t xml:space="preserve"> regionale di dermatologia oncologica. Il </w:t>
      </w:r>
      <w:r w:rsidRPr="00BC2748">
        <w:rPr>
          <w:rFonts w:ascii="Calibri" w:hAnsi="Calibri"/>
          <w:b/>
          <w:lang w:eastAsia="it-IT"/>
        </w:rPr>
        <w:t xml:space="preserve">Centro Porfirie </w:t>
      </w:r>
      <w:r w:rsidRPr="00BC2748">
        <w:rPr>
          <w:rFonts w:ascii="Calibri" w:hAnsi="Calibri"/>
          <w:lang w:eastAsia="it-IT"/>
        </w:rPr>
        <w:t xml:space="preserve">è integrato nella rete assistenziale per le malattie rare della Regione Lazio e in due diverse reti europee per la qualità delle prestazioni biochimiche e genetiche nel campo delle porfirie e il </w:t>
      </w:r>
      <w:r w:rsidRPr="00BC2748">
        <w:rPr>
          <w:rFonts w:ascii="Calibri" w:hAnsi="Calibri"/>
          <w:b/>
          <w:lang w:eastAsia="it-IT"/>
        </w:rPr>
        <w:t>Servizio MST</w:t>
      </w:r>
      <w:r w:rsidRPr="00BC2748">
        <w:rPr>
          <w:rFonts w:ascii="Calibri" w:hAnsi="Calibri"/>
          <w:lang w:eastAsia="it-IT"/>
        </w:rPr>
        <w:t xml:space="preserve">, riconosciuto dall’Istituto Superiore di Sanità quale “centro sentinella” delle malattie sessualmente trasmesse, partecipa al sistema nazionale di sorveglianza e controllo delle infezioni da HIV. L’Istituto ha istituito il “week hospital”, che ha consentito una distribuzione razionale dei tempi di degenza ed un risparmio finanziario; </w:t>
      </w:r>
      <w:r w:rsidRPr="00BC2748">
        <w:rPr>
          <w:rFonts w:ascii="Calibri" w:hAnsi="Calibri"/>
          <w:b/>
          <w:lang w:eastAsia="it-IT"/>
        </w:rPr>
        <w:t>Ambulatori specialistici; le “Unit” di Melanoma, Psoriasi, Vitiligine e HPV.</w:t>
      </w:r>
      <w:r w:rsidRPr="00BC2748">
        <w:rPr>
          <w:rFonts w:ascii="Calibri" w:hAnsi="Calibri"/>
          <w:lang w:eastAsia="it-IT"/>
        </w:rPr>
        <w:t xml:space="preserve"> In campo chirurgico la tecnica del linfonodo sentinella è una metodica di routine nello studio dei melanomi e dei carcinomi </w:t>
      </w:r>
      <w:proofErr w:type="spellStart"/>
      <w:r w:rsidRPr="00BC2748">
        <w:rPr>
          <w:rFonts w:ascii="Calibri" w:hAnsi="Calibri"/>
          <w:lang w:eastAsia="it-IT"/>
        </w:rPr>
        <w:t>spinocellulari</w:t>
      </w:r>
      <w:proofErr w:type="spellEnd"/>
      <w:r w:rsidRPr="00BC2748">
        <w:rPr>
          <w:rFonts w:ascii="Calibri" w:hAnsi="Calibri"/>
          <w:lang w:eastAsia="it-IT"/>
        </w:rPr>
        <w:t>. Vengono impiegate metodiche diagnostiche innovative come la teletermografia, la microscopia confocale, l’</w:t>
      </w:r>
      <w:proofErr w:type="spellStart"/>
      <w:r w:rsidRPr="00BC2748">
        <w:rPr>
          <w:rFonts w:ascii="Calibri" w:hAnsi="Calibri"/>
          <w:lang w:eastAsia="it-IT"/>
        </w:rPr>
        <w:t>Artoscan</w:t>
      </w:r>
      <w:proofErr w:type="spellEnd"/>
      <w:r w:rsidRPr="00BC2748">
        <w:rPr>
          <w:rFonts w:ascii="Calibri" w:hAnsi="Calibri"/>
          <w:lang w:eastAsia="it-IT"/>
        </w:rPr>
        <w:t xml:space="preserve">-RMN. Gli ambulatori di </w:t>
      </w:r>
      <w:proofErr w:type="spellStart"/>
      <w:r w:rsidRPr="00BC2748">
        <w:rPr>
          <w:rFonts w:ascii="Calibri" w:hAnsi="Calibri"/>
          <w:b/>
          <w:lang w:eastAsia="it-IT"/>
        </w:rPr>
        <w:t>Fotodermatologia</w:t>
      </w:r>
      <w:proofErr w:type="spellEnd"/>
      <w:r w:rsidRPr="00BC2748">
        <w:rPr>
          <w:rFonts w:ascii="Calibri" w:hAnsi="Calibri"/>
          <w:lang w:eastAsia="it-IT"/>
        </w:rPr>
        <w:t xml:space="preserve"> e di Fotodermatosi dispongono di una notevole dotazione tecnologica che comprende simulatori solari, laser ad eccimeri, UVB-NB. Sul piano della ricerca traslazionale, svolta secondo le linee programmatiche indicate dal Ministero della Salute e dalla Regione, sono di particolare importanza gli studi rivolti alla </w:t>
      </w:r>
      <w:proofErr w:type="spellStart"/>
      <w:r w:rsidRPr="00BC2748">
        <w:rPr>
          <w:rFonts w:ascii="Calibri" w:hAnsi="Calibri"/>
          <w:b/>
          <w:lang w:eastAsia="it-IT"/>
        </w:rPr>
        <w:t>metabolomica</w:t>
      </w:r>
      <w:proofErr w:type="spellEnd"/>
      <w:r w:rsidRPr="00BC2748">
        <w:rPr>
          <w:rFonts w:ascii="Calibri" w:hAnsi="Calibri"/>
          <w:b/>
          <w:lang w:eastAsia="it-IT"/>
        </w:rPr>
        <w:t xml:space="preserve"> e </w:t>
      </w:r>
      <w:proofErr w:type="spellStart"/>
      <w:r w:rsidRPr="00BC2748">
        <w:rPr>
          <w:rFonts w:ascii="Calibri" w:hAnsi="Calibri"/>
          <w:b/>
          <w:lang w:eastAsia="it-IT"/>
        </w:rPr>
        <w:t>lipidomica</w:t>
      </w:r>
      <w:proofErr w:type="spellEnd"/>
      <w:r w:rsidRPr="00BC2748">
        <w:rPr>
          <w:rFonts w:ascii="Calibri" w:hAnsi="Calibri"/>
          <w:b/>
          <w:lang w:eastAsia="it-IT"/>
        </w:rPr>
        <w:t xml:space="preserve"> cutanea, gli studi farmacologici</w:t>
      </w:r>
      <w:r w:rsidRPr="00BC2748">
        <w:rPr>
          <w:rFonts w:ascii="Calibri" w:hAnsi="Calibri"/>
          <w:lang w:eastAsia="it-IT"/>
        </w:rPr>
        <w:t xml:space="preserve"> su molecole di nuova concezione o principi attivi di cui si sia individuato un impiego innovativo per il trattamento di condizioni patologiche e parafisiologiche della cute e annessi cutanei, gli studi sulla fisiopatologia della pigmentazione (melanoma e vitiligine), sull’acne, sulla dermatite atopica e la psoriasi. L’attività  didattica e la formazione che viene anche svolta in collaborazione con le Università e con altre Istituzioni nazionali ed internazionali attraverso specifiche convenzioni. L’ISG ha acquisito, oltre la </w:t>
      </w:r>
      <w:r w:rsidRPr="00BC2748">
        <w:rPr>
          <w:rFonts w:ascii="Calibri" w:hAnsi="Calibri"/>
          <w:b/>
          <w:lang w:eastAsia="it-IT"/>
        </w:rPr>
        <w:t>Certificazione di qualità ISO 9001</w:t>
      </w:r>
      <w:r w:rsidRPr="00BC2748">
        <w:rPr>
          <w:rFonts w:ascii="Calibri" w:hAnsi="Calibri"/>
          <w:lang w:eastAsia="it-IT"/>
        </w:rPr>
        <w:t xml:space="preserve">, il Certificato di Conformità alla Buona Pratica di Laboratorio (BPL) per il Laboratorio di Fisiopatologia Cutanea e Centro di </w:t>
      </w:r>
      <w:proofErr w:type="spellStart"/>
      <w:r w:rsidRPr="00BC2748">
        <w:rPr>
          <w:rFonts w:ascii="Calibri" w:hAnsi="Calibri"/>
          <w:lang w:eastAsia="it-IT"/>
        </w:rPr>
        <w:t>Metabolomica</w:t>
      </w:r>
      <w:proofErr w:type="spellEnd"/>
      <w:r w:rsidRPr="00BC2748">
        <w:rPr>
          <w:rFonts w:ascii="Calibri" w:hAnsi="Calibri"/>
          <w:lang w:eastAsia="it-IT"/>
        </w:rPr>
        <w:t>, ed è membro affiliato OECI.</w:t>
      </w:r>
    </w:p>
    <w:p w:rsidR="007D0952" w:rsidRPr="001F2BF7" w:rsidRDefault="007D0952" w:rsidP="007D0952"/>
    <w:p w:rsidR="00721A19" w:rsidRDefault="00721A19" w:rsidP="007D0952">
      <w:pPr>
        <w:ind w:left="-567" w:right="-909"/>
        <w:jc w:val="both"/>
      </w:pPr>
    </w:p>
    <w:sectPr w:rsidR="00721A19" w:rsidSect="007D0952">
      <w:headerReference w:type="default" r:id="rId8"/>
      <w:headerReference w:type="first" r:id="rId9"/>
      <w:footerReference w:type="first" r:id="rId10"/>
      <w:pgSz w:w="11899" w:h="16838"/>
      <w:pgMar w:top="1417" w:right="1134" w:bottom="1134" w:left="1134" w:header="0" w:footer="36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C86" w:rsidRDefault="00BC3C86">
      <w:r>
        <w:separator/>
      </w:r>
    </w:p>
  </w:endnote>
  <w:endnote w:type="continuationSeparator" w:id="0">
    <w:p w:rsidR="00BC3C86" w:rsidRDefault="00BC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DIN-Regular">
    <w:charset w:val="00"/>
    <w:family w:val="auto"/>
    <w:pitch w:val="variable"/>
    <w:sig w:usb0="03000000" w:usb1="00000000" w:usb2="00000000" w:usb3="00000000" w:csb0="00000001" w:csb1="00000000"/>
  </w:font>
  <w:font w:name="DIN-Bold">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DDF" w:rsidRDefault="00447DDF" w:rsidP="00447DDF">
    <w:pPr>
      <w:pStyle w:val="Pidipagina"/>
      <w:tabs>
        <w:tab w:val="clear" w:pos="8306"/>
        <w:tab w:val="right" w:pos="10065"/>
      </w:tabs>
      <w:ind w:left="-1797" w:right="-1760"/>
      <w:jc w:val="center"/>
      <w:rPr>
        <w:rFonts w:ascii="DIN-Bold" w:hAnsi="DIN-Bold"/>
        <w:sz w:val="14"/>
      </w:rPr>
    </w:pPr>
    <w:r w:rsidRPr="00AD14DB">
      <w:rPr>
        <w:rFonts w:ascii="DIN-Regular" w:hAnsi="DIN-Regular"/>
        <w:sz w:val="14"/>
      </w:rPr>
      <w:t xml:space="preserve">ISTITUTI FISIOTERAPICI OSPITALIERI      Via Elio Chianesi, 53 - 00144 Roma    Tel. </w:t>
    </w:r>
    <w:r w:rsidR="00652958">
      <w:rPr>
        <w:rFonts w:ascii="DIN-Regular" w:hAnsi="DIN-Regular"/>
        <w:sz w:val="14"/>
      </w:rPr>
      <w:t>06 5266.1</w:t>
    </w:r>
    <w:r w:rsidRPr="00AD14DB">
      <w:rPr>
        <w:rFonts w:ascii="DIN-Regular" w:hAnsi="DIN-Regular"/>
        <w:sz w:val="14"/>
      </w:rPr>
      <w:t xml:space="preserve">    C.F. 02153140583     P.IVA 01033011006    </w:t>
    </w:r>
    <w:hyperlink r:id="rId1" w:history="1">
      <w:r w:rsidRPr="003D7E18">
        <w:rPr>
          <w:rStyle w:val="Collegamentoipertestuale"/>
          <w:rFonts w:ascii="DIN-Bold" w:hAnsi="DIN-Bold"/>
          <w:sz w:val="14"/>
        </w:rPr>
        <w:t>www.ifo.it</w:t>
      </w:r>
    </w:hyperlink>
  </w:p>
  <w:p w:rsidR="00721A19" w:rsidRPr="00803610" w:rsidRDefault="00721A19" w:rsidP="00721A19">
    <w:pPr>
      <w:pStyle w:val="Pidipagina"/>
      <w:tabs>
        <w:tab w:val="clear" w:pos="8306"/>
        <w:tab w:val="right" w:pos="10065"/>
      </w:tabs>
      <w:ind w:left="-1797" w:right="-17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C86" w:rsidRDefault="00BC3C86">
      <w:r>
        <w:separator/>
      </w:r>
    </w:p>
  </w:footnote>
  <w:footnote w:type="continuationSeparator" w:id="0">
    <w:p w:rsidR="00BC3C86" w:rsidRDefault="00BC3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A19" w:rsidRDefault="00F43FDB" w:rsidP="00721A19">
    <w:pPr>
      <w:pStyle w:val="Intestazione"/>
      <w:spacing w:line="360" w:lineRule="auto"/>
      <w:jc w:val="center"/>
    </w:pPr>
    <w:r>
      <w:rPr>
        <w:noProof/>
        <w:lang w:eastAsia="it-IT"/>
      </w:rPr>
      <w:drawing>
        <wp:inline distT="0" distB="0" distL="0" distR="0">
          <wp:extent cx="1247775" cy="1247775"/>
          <wp:effectExtent l="19050" t="0" r="9525" b="0"/>
          <wp:docPr id="2" name="Immagine 2" descr="seconda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onda_pagina"/>
                  <pic:cNvPicPr>
                    <a:picLocks noChangeAspect="1" noChangeArrowheads="1"/>
                  </pic:cNvPicPr>
                </pic:nvPicPr>
                <pic:blipFill>
                  <a:blip r:embed="rId1"/>
                  <a:srcRect/>
                  <a:stretch>
                    <a:fillRect/>
                  </a:stretch>
                </pic:blipFill>
                <pic:spPr bwMode="auto">
                  <a:xfrm>
                    <a:off x="0" y="0"/>
                    <a:ext cx="1247775" cy="12477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A19" w:rsidRDefault="007D0952" w:rsidP="007D0952">
    <w:pPr>
      <w:pStyle w:val="Intestazione"/>
      <w:tabs>
        <w:tab w:val="clear" w:pos="8306"/>
        <w:tab w:val="right" w:pos="11057"/>
      </w:tabs>
      <w:ind w:left="-1797" w:right="-1760"/>
      <w:jc w:val="center"/>
    </w:pPr>
    <w:r w:rsidRPr="007D0952">
      <w:rPr>
        <w:noProof/>
        <w:lang w:eastAsia="it-IT"/>
      </w:rPr>
      <w:drawing>
        <wp:inline distT="0" distB="0" distL="0" distR="0">
          <wp:extent cx="6115685" cy="1078332"/>
          <wp:effectExtent l="19050" t="0" r="0" b="0"/>
          <wp:docPr id="3"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15685" cy="107833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FDB"/>
    <w:multiLevelType w:val="hybridMultilevel"/>
    <w:tmpl w:val="EB38630A"/>
    <w:lvl w:ilvl="0" w:tplc="8DDEE206">
      <w:start w:val="1"/>
      <w:numFmt w:val="bullet"/>
      <w:lvlText w:val=""/>
      <w:lvlJc w:val="left"/>
      <w:pPr>
        <w:ind w:left="720" w:hanging="360"/>
      </w:pPr>
      <w:rPr>
        <w:rFonts w:ascii="Symbol" w:hAnsi="Symbol" w:hint="default"/>
        <w:color w:val="94363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B81EE8"/>
    <w:multiLevelType w:val="hybridMultilevel"/>
    <w:tmpl w:val="9184DCBC"/>
    <w:lvl w:ilvl="0" w:tplc="A920DB2A">
      <w:start w:val="1"/>
      <w:numFmt w:val="bullet"/>
      <w:lvlText w:val=""/>
      <w:lvlJc w:val="left"/>
      <w:pPr>
        <w:tabs>
          <w:tab w:val="num" w:pos="60"/>
        </w:tabs>
        <w:ind w:left="60" w:firstLine="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
    <w:nsid w:val="0AFB5E1C"/>
    <w:multiLevelType w:val="hybridMultilevel"/>
    <w:tmpl w:val="03D41A7E"/>
    <w:lvl w:ilvl="0" w:tplc="6AE692FA">
      <w:start w:val="1"/>
      <w:numFmt w:val="bullet"/>
      <w:lvlText w:val=""/>
      <w:lvlJc w:val="left"/>
      <w:pPr>
        <w:tabs>
          <w:tab w:val="num" w:pos="0"/>
        </w:tabs>
        <w:ind w:left="0" w:firstLine="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5943915"/>
    <w:multiLevelType w:val="hybridMultilevel"/>
    <w:tmpl w:val="27E29248"/>
    <w:lvl w:ilvl="0" w:tplc="8DDEE206">
      <w:start w:val="1"/>
      <w:numFmt w:val="bullet"/>
      <w:lvlText w:val=""/>
      <w:lvlJc w:val="left"/>
      <w:pPr>
        <w:ind w:left="720" w:hanging="360"/>
      </w:pPr>
      <w:rPr>
        <w:rFonts w:ascii="Symbol" w:hAnsi="Symbol" w:hint="default"/>
        <w:color w:val="94363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758351B"/>
    <w:multiLevelType w:val="hybridMultilevel"/>
    <w:tmpl w:val="0FFEB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F8739BB"/>
    <w:multiLevelType w:val="hybridMultilevel"/>
    <w:tmpl w:val="34C82B1A"/>
    <w:lvl w:ilvl="0" w:tplc="A920DB2A">
      <w:start w:val="1"/>
      <w:numFmt w:val="bullet"/>
      <w:lvlText w:val=""/>
      <w:lvlJc w:val="left"/>
      <w:pPr>
        <w:tabs>
          <w:tab w:val="num" w:pos="0"/>
        </w:tabs>
        <w:ind w:left="0" w:firstLine="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5F72BEA"/>
    <w:multiLevelType w:val="hybridMultilevel"/>
    <w:tmpl w:val="E8DAA39E"/>
    <w:lvl w:ilvl="0" w:tplc="6D2EFE34">
      <w:numFmt w:val="bullet"/>
      <w:lvlText w:val="•"/>
      <w:lvlJc w:val="left"/>
      <w:pPr>
        <w:ind w:left="720" w:hanging="360"/>
      </w:pPr>
      <w:rPr>
        <w:rFonts w:ascii="Calibri" w:eastAsia="Times New Roman" w:hAnsi="Calibri"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C3D478C"/>
    <w:multiLevelType w:val="hybridMultilevel"/>
    <w:tmpl w:val="050CF850"/>
    <w:lvl w:ilvl="0" w:tplc="8DDEE206">
      <w:start w:val="1"/>
      <w:numFmt w:val="bullet"/>
      <w:lvlText w:val=""/>
      <w:lvlJc w:val="left"/>
      <w:pPr>
        <w:ind w:left="720" w:hanging="360"/>
      </w:pPr>
      <w:rPr>
        <w:rFonts w:ascii="Symbol" w:hAnsi="Symbol" w:hint="default"/>
        <w:color w:val="94363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E701910"/>
    <w:multiLevelType w:val="hybridMultilevel"/>
    <w:tmpl w:val="3DA0B7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8"/>
  </w:num>
  <w:num w:numId="5">
    <w:abstractNumId w:val="2"/>
  </w:num>
  <w:num w:numId="6">
    <w:abstractNumId w:val="5"/>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82B0F"/>
    <w:rsid w:val="00044D2D"/>
    <w:rsid w:val="0011703C"/>
    <w:rsid w:val="001C0091"/>
    <w:rsid w:val="00274C5E"/>
    <w:rsid w:val="00282986"/>
    <w:rsid w:val="00370F12"/>
    <w:rsid w:val="003A4CE2"/>
    <w:rsid w:val="00447DDF"/>
    <w:rsid w:val="004F0F5A"/>
    <w:rsid w:val="00560441"/>
    <w:rsid w:val="0057320F"/>
    <w:rsid w:val="005A1EAB"/>
    <w:rsid w:val="006005C3"/>
    <w:rsid w:val="0062757B"/>
    <w:rsid w:val="0063319D"/>
    <w:rsid w:val="00652958"/>
    <w:rsid w:val="006B2862"/>
    <w:rsid w:val="006C5E74"/>
    <w:rsid w:val="00710447"/>
    <w:rsid w:val="00721A19"/>
    <w:rsid w:val="007514E1"/>
    <w:rsid w:val="0075380E"/>
    <w:rsid w:val="007A5BA7"/>
    <w:rsid w:val="007D0952"/>
    <w:rsid w:val="00836E96"/>
    <w:rsid w:val="00954DA2"/>
    <w:rsid w:val="00990F7C"/>
    <w:rsid w:val="00A05748"/>
    <w:rsid w:val="00A949EB"/>
    <w:rsid w:val="00B82B0F"/>
    <w:rsid w:val="00BC3C86"/>
    <w:rsid w:val="00C37D6B"/>
    <w:rsid w:val="00C56CAB"/>
    <w:rsid w:val="00C861B7"/>
    <w:rsid w:val="00CD67A2"/>
    <w:rsid w:val="00D435E8"/>
    <w:rsid w:val="00D47B29"/>
    <w:rsid w:val="00D83FA8"/>
    <w:rsid w:val="00E538B4"/>
    <w:rsid w:val="00E55674"/>
    <w:rsid w:val="00E80952"/>
    <w:rsid w:val="00E86C38"/>
    <w:rsid w:val="00E9061A"/>
    <w:rsid w:val="00F05AA8"/>
    <w:rsid w:val="00F275EA"/>
    <w:rsid w:val="00F43FDB"/>
    <w:rsid w:val="00F5143A"/>
    <w:rsid w:val="00F65123"/>
    <w:rsid w:val="00FB12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4C5E"/>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700DC"/>
    <w:pPr>
      <w:tabs>
        <w:tab w:val="center" w:pos="4153"/>
        <w:tab w:val="right" w:pos="8306"/>
      </w:tabs>
    </w:pPr>
  </w:style>
  <w:style w:type="paragraph" w:styleId="Pidipagina">
    <w:name w:val="footer"/>
    <w:basedOn w:val="Normale"/>
    <w:link w:val="PidipaginaCarattere"/>
    <w:semiHidden/>
    <w:rsid w:val="003700DC"/>
    <w:pPr>
      <w:tabs>
        <w:tab w:val="center" w:pos="4153"/>
        <w:tab w:val="right" w:pos="8306"/>
      </w:tabs>
    </w:pPr>
  </w:style>
  <w:style w:type="character" w:styleId="Collegamentoipertestuale">
    <w:name w:val="Hyperlink"/>
    <w:basedOn w:val="Carpredefinitoparagrafo"/>
    <w:uiPriority w:val="99"/>
    <w:unhideWhenUsed/>
    <w:rsid w:val="0057320F"/>
    <w:rPr>
      <w:color w:val="0000FF"/>
      <w:u w:val="single"/>
    </w:rPr>
  </w:style>
  <w:style w:type="character" w:customStyle="1" w:styleId="PidipaginaCarattere">
    <w:name w:val="Piè di pagina Carattere"/>
    <w:basedOn w:val="Carpredefinitoparagrafo"/>
    <w:link w:val="Pidipagina"/>
    <w:semiHidden/>
    <w:rsid w:val="00447DDF"/>
    <w:rPr>
      <w:sz w:val="24"/>
      <w:szCs w:val="24"/>
      <w:lang w:eastAsia="en-US"/>
    </w:rPr>
  </w:style>
  <w:style w:type="paragraph" w:styleId="Testofumetto">
    <w:name w:val="Balloon Text"/>
    <w:basedOn w:val="Normale"/>
    <w:link w:val="TestofumettoCarattere"/>
    <w:uiPriority w:val="99"/>
    <w:semiHidden/>
    <w:unhideWhenUsed/>
    <w:rsid w:val="00E86C3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6C38"/>
    <w:rPr>
      <w:rFonts w:ascii="Tahoma" w:hAnsi="Tahoma" w:cs="Tahoma"/>
      <w:sz w:val="16"/>
      <w:szCs w:val="16"/>
      <w:lang w:eastAsia="en-US"/>
    </w:rPr>
  </w:style>
  <w:style w:type="character" w:styleId="Enfasigrassetto">
    <w:name w:val="Strong"/>
    <w:basedOn w:val="Carpredefinitoparagrafo"/>
    <w:uiPriority w:val="22"/>
    <w:qFormat/>
    <w:rsid w:val="006005C3"/>
    <w:rPr>
      <w:b/>
      <w:bCs/>
    </w:rPr>
  </w:style>
  <w:style w:type="paragraph" w:customStyle="1" w:styleId="Testo">
    <w:name w:val="Testo"/>
    <w:basedOn w:val="Normale"/>
    <w:rsid w:val="006005C3"/>
    <w:pPr>
      <w:spacing w:line="320" w:lineRule="atLeast"/>
      <w:ind w:left="540" w:right="638"/>
      <w:jc w:val="both"/>
    </w:pPr>
    <w:rPr>
      <w:rFonts w:ascii="Bookman" w:hAnsi="Bookman" w:cs="Arial"/>
      <w:bCs/>
      <w:sz w:val="22"/>
      <w:szCs w:val="20"/>
      <w:lang w:eastAsia="it-IT"/>
    </w:rPr>
  </w:style>
  <w:style w:type="paragraph" w:styleId="Testonormale">
    <w:name w:val="Plain Text"/>
    <w:basedOn w:val="Normale"/>
    <w:link w:val="TestonormaleCarattere"/>
    <w:uiPriority w:val="99"/>
    <w:unhideWhenUsed/>
    <w:rsid w:val="00A05748"/>
    <w:rPr>
      <w:rFonts w:ascii="Consolas" w:eastAsia="Calibri" w:hAnsi="Consolas"/>
      <w:sz w:val="21"/>
      <w:szCs w:val="21"/>
    </w:rPr>
  </w:style>
  <w:style w:type="character" w:customStyle="1" w:styleId="TestonormaleCarattere">
    <w:name w:val="Testo normale Carattere"/>
    <w:basedOn w:val="Carpredefinitoparagrafo"/>
    <w:link w:val="Testonormale"/>
    <w:uiPriority w:val="99"/>
    <w:rsid w:val="00A05748"/>
    <w:rPr>
      <w:rFonts w:ascii="Consolas" w:eastAsia="Calibri" w:hAnsi="Consolas"/>
      <w:sz w:val="21"/>
      <w:szCs w:val="21"/>
      <w:lang w:eastAsia="en-US"/>
    </w:rPr>
  </w:style>
  <w:style w:type="paragraph" w:styleId="Paragrafoelenco">
    <w:name w:val="List Paragraph"/>
    <w:basedOn w:val="Normale"/>
    <w:uiPriority w:val="34"/>
    <w:qFormat/>
    <w:rsid w:val="007D09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752</Words>
  <Characters>4803</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Dddddddddddddddddddddddddddddddddddddddddddddddddddddddddddddddddddddddddddddddddddddddddddddd</vt:lpstr>
      <vt:lpstr>Dddddddddddddddddddddddddddddddddddddddddddddddddddddddddddddddddddddddddddddddddddddddddddddd</vt:lpstr>
    </vt:vector>
  </TitlesOfParts>
  <Company/>
  <LinksUpToDate>false</LinksUpToDate>
  <CharactersWithSpaces>5544</CharactersWithSpaces>
  <SharedDoc>false</SharedDoc>
  <HLinks>
    <vt:vector size="6" baseType="variant">
      <vt:variant>
        <vt:i4>7012460</vt:i4>
      </vt:variant>
      <vt:variant>
        <vt:i4>0</vt:i4>
      </vt:variant>
      <vt:variant>
        <vt:i4>0</vt:i4>
      </vt:variant>
      <vt:variant>
        <vt:i4>5</vt:i4>
      </vt:variant>
      <vt:variant>
        <vt:lpwstr>http://www.ifo.it/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Dddddddddddddddddddddddddddddddddddddddddddddddddddddddddddddddddddddddddddddddddddddddddddddd</dc:title>
  <dc:creator>Saatchi &amp; Saatchi SpA</dc:creator>
  <cp:lastModifiedBy>BARBATO SIMONA</cp:lastModifiedBy>
  <cp:revision>6</cp:revision>
  <cp:lastPrinted>2017-07-24T12:53:00Z</cp:lastPrinted>
  <dcterms:created xsi:type="dcterms:W3CDTF">2017-07-24T12:53:00Z</dcterms:created>
  <dcterms:modified xsi:type="dcterms:W3CDTF">2017-11-22T14:41:00Z</dcterms:modified>
</cp:coreProperties>
</file>