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05" w:rsidRPr="00CC7CD6" w:rsidRDefault="00CC7CD6" w:rsidP="00A11505">
      <w:pPr>
        <w:rPr>
          <w:b/>
        </w:rPr>
      </w:pPr>
      <w:bookmarkStart w:id="0" w:name="_GoBack"/>
      <w:bookmarkEnd w:id="0"/>
      <w:r w:rsidRPr="00CC7CD6">
        <w:rPr>
          <w:b/>
        </w:rPr>
        <w:t xml:space="preserve">Bando n. </w:t>
      </w:r>
      <w:r w:rsidR="00B53A37">
        <w:rPr>
          <w:b/>
        </w:rPr>
        <w:t>3</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CC5F31">
        <w:t>A</w:t>
      </w:r>
      <w:r w:rsidR="00B73988" w:rsidRPr="001920B5">
        <w:t>,</w:t>
      </w:r>
      <w:r w:rsidR="00A677C0" w:rsidRPr="001920B5">
        <w:t xml:space="preserve"> nell’ambito</w:t>
      </w:r>
      <w:r w:rsidR="00A677C0" w:rsidRPr="000A01FD">
        <w:t xml:space="preserve"> del progetto di ricerca dal titolo </w:t>
      </w:r>
      <w:r w:rsidR="00AB0FD4" w:rsidRPr="00CB5823">
        <w:rPr>
          <w:i/>
        </w:rPr>
        <w:t>“</w:t>
      </w:r>
      <w:r w:rsidR="00B9532C" w:rsidRPr="00B9532C">
        <w:rPr>
          <w:rFonts w:eastAsia="TimesNewRomanPSMT" w:cs="Calibri"/>
          <w:i/>
          <w:sz w:val="22"/>
          <w:szCs w:val="22"/>
        </w:rPr>
        <w:t xml:space="preserve">A </w:t>
      </w:r>
      <w:proofErr w:type="spellStart"/>
      <w:r w:rsidR="00B9532C" w:rsidRPr="00B9532C">
        <w:rPr>
          <w:rFonts w:eastAsia="TimesNewRomanPSMT" w:cs="Calibri"/>
          <w:i/>
          <w:sz w:val="22"/>
          <w:szCs w:val="22"/>
        </w:rPr>
        <w:t>microRNA-based</w:t>
      </w:r>
      <w:proofErr w:type="spellEnd"/>
      <w:r w:rsidR="00B9532C" w:rsidRPr="00B9532C">
        <w:rPr>
          <w:rFonts w:eastAsia="TimesNewRomanPSMT" w:cs="Calibri"/>
          <w:i/>
          <w:sz w:val="22"/>
          <w:szCs w:val="22"/>
        </w:rPr>
        <w:t xml:space="preserve"> </w:t>
      </w:r>
      <w:proofErr w:type="spellStart"/>
      <w:r w:rsidR="00B9532C" w:rsidRPr="00B9532C">
        <w:rPr>
          <w:rFonts w:eastAsia="TimesNewRomanPSMT" w:cs="Calibri"/>
          <w:i/>
          <w:sz w:val="22"/>
          <w:szCs w:val="22"/>
        </w:rPr>
        <w:t>approach</w:t>
      </w:r>
      <w:proofErr w:type="spellEnd"/>
      <w:r w:rsidR="00B9532C" w:rsidRPr="00B9532C">
        <w:rPr>
          <w:rFonts w:eastAsia="TimesNewRomanPSMT" w:cs="Calibri"/>
          <w:i/>
          <w:sz w:val="22"/>
          <w:szCs w:val="22"/>
        </w:rPr>
        <w:t xml:space="preserve"> to </w:t>
      </w:r>
      <w:proofErr w:type="spellStart"/>
      <w:r w:rsidR="00B9532C" w:rsidRPr="00B9532C">
        <w:rPr>
          <w:rFonts w:eastAsia="TimesNewRomanPSMT" w:cs="Calibri"/>
          <w:i/>
          <w:sz w:val="22"/>
          <w:szCs w:val="22"/>
        </w:rPr>
        <w:t>advanced</w:t>
      </w:r>
      <w:proofErr w:type="spellEnd"/>
      <w:r w:rsidR="00B9532C" w:rsidRPr="00B9532C">
        <w:rPr>
          <w:rFonts w:eastAsia="TimesNewRomanPSMT" w:cs="Calibri"/>
          <w:i/>
          <w:sz w:val="22"/>
          <w:szCs w:val="22"/>
        </w:rPr>
        <w:t xml:space="preserve"> </w:t>
      </w:r>
      <w:proofErr w:type="spellStart"/>
      <w:r w:rsidR="00B9532C" w:rsidRPr="00B9532C">
        <w:rPr>
          <w:rFonts w:eastAsia="TimesNewRomanPSMT" w:cs="Calibri"/>
          <w:i/>
          <w:sz w:val="22"/>
          <w:szCs w:val="22"/>
        </w:rPr>
        <w:t>diagnosis</w:t>
      </w:r>
      <w:proofErr w:type="spellEnd"/>
      <w:r w:rsidR="00B9532C" w:rsidRPr="00B9532C">
        <w:rPr>
          <w:rFonts w:eastAsia="TimesNewRomanPSMT" w:cs="Calibri"/>
          <w:i/>
          <w:sz w:val="22"/>
          <w:szCs w:val="22"/>
        </w:rPr>
        <w:t xml:space="preserve"> and </w:t>
      </w:r>
      <w:proofErr w:type="spellStart"/>
      <w:r w:rsidR="00B9532C" w:rsidRPr="00B9532C">
        <w:rPr>
          <w:rFonts w:eastAsia="TimesNewRomanPSMT" w:cs="Calibri"/>
          <w:i/>
          <w:sz w:val="22"/>
          <w:szCs w:val="22"/>
        </w:rPr>
        <w:t>therapy</w:t>
      </w:r>
      <w:proofErr w:type="spellEnd"/>
      <w:r w:rsidR="00B9532C" w:rsidRPr="00B9532C">
        <w:rPr>
          <w:rFonts w:eastAsia="TimesNewRomanPSMT" w:cs="Calibri"/>
          <w:i/>
          <w:sz w:val="22"/>
          <w:szCs w:val="22"/>
        </w:rPr>
        <w:t xml:space="preserve"> of </w:t>
      </w:r>
      <w:proofErr w:type="spellStart"/>
      <w:r w:rsidR="00B9532C" w:rsidRPr="00B9532C">
        <w:rPr>
          <w:rFonts w:eastAsia="TimesNewRomanPSMT" w:cs="Calibri"/>
          <w:i/>
          <w:sz w:val="22"/>
          <w:szCs w:val="22"/>
        </w:rPr>
        <w:t>metastatic</w:t>
      </w:r>
      <w:proofErr w:type="spellEnd"/>
      <w:r w:rsidR="00B9532C" w:rsidRPr="00B9532C">
        <w:rPr>
          <w:rFonts w:eastAsia="TimesNewRomanPSMT" w:cs="Calibri"/>
          <w:i/>
          <w:sz w:val="22"/>
          <w:szCs w:val="22"/>
        </w:rPr>
        <w:t xml:space="preserve"> melanoma</w:t>
      </w:r>
      <w:r w:rsidR="00AB0FD4" w:rsidRPr="00B9532C">
        <w:rPr>
          <w:i/>
        </w:rPr>
        <w:t>”</w:t>
      </w:r>
      <w:r w:rsidR="00AB0FD4" w:rsidRPr="00CB5823">
        <w:rPr>
          <w:i/>
        </w:rPr>
        <w:t>.</w:t>
      </w:r>
      <w:r w:rsidR="00592D3E">
        <w:t xml:space="preserve"> </w:t>
      </w:r>
      <w:r w:rsidR="00592D3E" w:rsidRPr="00F73145">
        <w:t>C</w:t>
      </w:r>
      <w:r w:rsidR="00A11505" w:rsidRPr="00F73145">
        <w:t>o</w:t>
      </w:r>
      <w:r w:rsidR="00592D3E" w:rsidRPr="00F73145">
        <w:t>d. IFO</w:t>
      </w:r>
      <w:r w:rsidR="00035559" w:rsidRPr="00F73145">
        <w:t xml:space="preserve"> </w:t>
      </w:r>
      <w:r w:rsidR="00AB0FD4">
        <w:t>1</w:t>
      </w:r>
      <w:r w:rsidR="00CB5823">
        <w:t>9</w:t>
      </w:r>
      <w:r w:rsidR="00AB0FD4">
        <w:t>/</w:t>
      </w:r>
      <w:r w:rsidR="00CB5823">
        <w:t>30</w:t>
      </w:r>
      <w:r w:rsidR="00AB0FD4">
        <w:t>/R/</w:t>
      </w:r>
      <w:r w:rsidR="00CB5823">
        <w:t>04</w:t>
      </w:r>
      <w:r w:rsidR="00AB0FD4">
        <w:t xml:space="preserve"> </w:t>
      </w:r>
      <w:r w:rsidR="00CB5823">
        <w:t xml:space="preserve">del quale è responsabile il Prof. Gennaro Ciliberto </w:t>
      </w:r>
    </w:p>
    <w:p w:rsidR="00AB0FD4" w:rsidRPr="00CC7CD6" w:rsidRDefault="00AB0FD4" w:rsidP="00AB0FD4">
      <w:pPr>
        <w:spacing w:line="360" w:lineRule="auto"/>
        <w:jc w:val="both"/>
        <w:rPr>
          <w:sz w:val="16"/>
          <w:szCs w:val="16"/>
        </w:rPr>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1725EA" w:rsidRPr="00F73145" w:rsidRDefault="00B9532C" w:rsidP="00AB0FD4">
      <w:pPr>
        <w:spacing w:line="360" w:lineRule="auto"/>
        <w:jc w:val="both"/>
      </w:pPr>
      <w:r w:rsidRPr="009336D6">
        <w:rPr>
          <w:rFonts w:cs="Calibri"/>
          <w:sz w:val="22"/>
          <w:szCs w:val="22"/>
        </w:rPr>
        <w:t xml:space="preserve">Estrazione di RNA e DNA da linee cellulari e da campioni bioptici di melanoma e loro sequenziamento mediante metodiche NGS. Studio della </w:t>
      </w:r>
      <w:proofErr w:type="spellStart"/>
      <w:r w:rsidRPr="009336D6">
        <w:rPr>
          <w:rFonts w:cs="Calibri"/>
          <w:sz w:val="22"/>
          <w:szCs w:val="22"/>
        </w:rPr>
        <w:t>deregolazione</w:t>
      </w:r>
      <w:proofErr w:type="spellEnd"/>
      <w:r w:rsidRPr="009336D6">
        <w:rPr>
          <w:rFonts w:cs="Calibri"/>
          <w:sz w:val="22"/>
          <w:szCs w:val="22"/>
        </w:rPr>
        <w:t xml:space="preserve"> dell’espressione di </w:t>
      </w:r>
      <w:proofErr w:type="spellStart"/>
      <w:r w:rsidRPr="009336D6">
        <w:rPr>
          <w:rFonts w:cs="Calibri"/>
          <w:sz w:val="22"/>
          <w:szCs w:val="22"/>
        </w:rPr>
        <w:t>microRNA</w:t>
      </w:r>
      <w:proofErr w:type="spellEnd"/>
      <w:r w:rsidRPr="009336D6">
        <w:rPr>
          <w:rFonts w:cs="Calibri"/>
          <w:sz w:val="22"/>
          <w:szCs w:val="22"/>
        </w:rPr>
        <w:t xml:space="preserve"> e long non </w:t>
      </w:r>
      <w:proofErr w:type="spellStart"/>
      <w:r w:rsidRPr="009336D6">
        <w:rPr>
          <w:rFonts w:cs="Calibri"/>
          <w:sz w:val="22"/>
          <w:szCs w:val="22"/>
        </w:rPr>
        <w:t>coding</w:t>
      </w:r>
      <w:proofErr w:type="spellEnd"/>
      <w:r w:rsidRPr="009336D6">
        <w:rPr>
          <w:rFonts w:cs="Calibri"/>
          <w:sz w:val="22"/>
          <w:szCs w:val="22"/>
        </w:rPr>
        <w:t xml:space="preserve"> RNA in linee</w:t>
      </w:r>
      <w:r>
        <w:rPr>
          <w:sz w:val="22"/>
          <w:szCs w:val="22"/>
        </w:rPr>
        <w:t xml:space="preserve"> cellulari di melanoma ed in campioni di melanoma da pazienti mediante colture cellulari e RT-PCR. Valutazione dell’</w:t>
      </w:r>
      <w:r w:rsidR="003209B1">
        <w:rPr>
          <w:sz w:val="22"/>
          <w:szCs w:val="22"/>
        </w:rPr>
        <w:t>effetto biologico dei micro RNA</w:t>
      </w:r>
      <w:r>
        <w:rPr>
          <w:sz w:val="22"/>
          <w:szCs w:val="22"/>
        </w:rPr>
        <w:t xml:space="preserve"> e dei long non </w:t>
      </w:r>
      <w:proofErr w:type="spellStart"/>
      <w:r>
        <w:rPr>
          <w:sz w:val="22"/>
          <w:szCs w:val="22"/>
        </w:rPr>
        <w:t>coding</w:t>
      </w:r>
      <w:proofErr w:type="spellEnd"/>
      <w:r>
        <w:rPr>
          <w:sz w:val="22"/>
          <w:szCs w:val="22"/>
        </w:rPr>
        <w:t xml:space="preserve"> RNA nei meccanismi di resistenza alle terapie target nel melanoma metastatico mediante esperimenti di </w:t>
      </w:r>
      <w:proofErr w:type="spellStart"/>
      <w:r>
        <w:rPr>
          <w:sz w:val="22"/>
          <w:szCs w:val="22"/>
        </w:rPr>
        <w:t>trasfezione</w:t>
      </w:r>
      <w:proofErr w:type="spellEnd"/>
      <w:r>
        <w:rPr>
          <w:sz w:val="22"/>
          <w:szCs w:val="22"/>
        </w:rPr>
        <w:t xml:space="preserve"> cellulare</w:t>
      </w:r>
      <w:r w:rsidR="001653ED">
        <w:t>;</w:t>
      </w:r>
    </w:p>
    <w:p w:rsidR="00F73145" w:rsidRPr="00CC7CD6" w:rsidRDefault="00F73145" w:rsidP="00A13804">
      <w:pPr>
        <w:spacing w:line="360" w:lineRule="auto"/>
        <w:jc w:val="both"/>
        <w:rPr>
          <w:b/>
          <w:sz w:val="16"/>
          <w:szCs w:val="16"/>
        </w:rPr>
      </w:pPr>
    </w:p>
    <w:p w:rsidR="00CC7CD6" w:rsidRDefault="00CB5823" w:rsidP="00CC7CD6">
      <w:pPr>
        <w:spacing w:line="360" w:lineRule="auto"/>
        <w:jc w:val="both"/>
        <w:rPr>
          <w:rFonts w:eastAsia="SimHei"/>
        </w:rPr>
      </w:pPr>
      <w:r>
        <w:rPr>
          <w:b/>
        </w:rPr>
        <w:t>Spesa Complessiva</w:t>
      </w:r>
      <w:r w:rsidR="00A677C0" w:rsidRPr="000A01FD">
        <w:rPr>
          <w:b/>
        </w:rPr>
        <w:t>:</w:t>
      </w:r>
      <w:r w:rsidR="00A677C0" w:rsidRPr="000A01FD">
        <w:t xml:space="preserve"> € </w:t>
      </w:r>
      <w:r>
        <w:rPr>
          <w:rFonts w:eastAsia="SimHei"/>
        </w:rPr>
        <w:t>16.365,00</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6F54BE">
        <w:rPr>
          <w:b/>
        </w:rPr>
        <w:t>titolo</w:t>
      </w:r>
      <w:r w:rsidRPr="006F54BE">
        <w:rPr>
          <w:b/>
        </w:rPr>
        <w:t xml:space="preserve"> di studio:</w:t>
      </w:r>
      <w:r w:rsidRPr="000A01FD">
        <w:t xml:space="preserve"> </w:t>
      </w:r>
    </w:p>
    <w:p w:rsidR="000F3578" w:rsidRDefault="00AB0FD4" w:rsidP="00CC7CD6">
      <w:pPr>
        <w:spacing w:line="360" w:lineRule="auto"/>
        <w:jc w:val="both"/>
      </w:pPr>
      <w:r>
        <w:t xml:space="preserve">Laurea Magistrale </w:t>
      </w:r>
      <w:r w:rsidR="00CB5823">
        <w:t>Genetica e Biologia Molecolare o equipollente</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CC5F31" w:rsidRPr="00CC5F31" w:rsidRDefault="00CC5F31" w:rsidP="00CC5F31">
      <w:pPr>
        <w:spacing w:line="360" w:lineRule="auto"/>
        <w:jc w:val="both"/>
        <w:rPr>
          <w:rFonts w:cs="Calibri"/>
          <w:sz w:val="22"/>
          <w:szCs w:val="22"/>
        </w:rPr>
      </w:pPr>
      <w:r w:rsidRPr="009336D6">
        <w:rPr>
          <w:rFonts w:cs="Calibri"/>
          <w:sz w:val="22"/>
          <w:szCs w:val="22"/>
        </w:rPr>
        <w:t>Laureati che abbiano acquisito il titolo di studio richiesto per l’accesso al bando da non più di 3 anni.</w:t>
      </w:r>
      <w:r>
        <w:rPr>
          <w:rFonts w:cs="Calibri"/>
          <w:sz w:val="22"/>
          <w:szCs w:val="22"/>
        </w:rPr>
        <w:t xml:space="preserve"> </w:t>
      </w:r>
      <w:r w:rsidRPr="00205F5D">
        <w:rPr>
          <w:rFonts w:cs="Calibri"/>
          <w:b/>
          <w:bCs/>
          <w:sz w:val="22"/>
          <w:szCs w:val="22"/>
        </w:rPr>
        <w:t>Tecniche di Biologia Molecolare</w:t>
      </w:r>
      <w:r w:rsidRPr="00CC5F31">
        <w:rPr>
          <w:rFonts w:cs="Calibri"/>
          <w:sz w:val="22"/>
          <w:szCs w:val="22"/>
        </w:rPr>
        <w:t xml:space="preserve">: </w:t>
      </w:r>
      <w:r w:rsidRPr="00CC5F31">
        <w:rPr>
          <w:rFonts w:eastAsia="Arial Unicode MS" w:cs="Calibri"/>
          <w:sz w:val="22"/>
          <w:szCs w:val="22"/>
        </w:rPr>
        <w:t xml:space="preserve">estrazione di DNA, RNA, </w:t>
      </w:r>
      <w:proofErr w:type="spellStart"/>
      <w:r w:rsidRPr="00CC5F31">
        <w:rPr>
          <w:rFonts w:eastAsia="Arial Unicode MS" w:cs="Calibri"/>
          <w:sz w:val="22"/>
          <w:szCs w:val="22"/>
        </w:rPr>
        <w:t>picoli</w:t>
      </w:r>
      <w:proofErr w:type="spellEnd"/>
      <w:r w:rsidRPr="00CC5F31">
        <w:rPr>
          <w:rFonts w:eastAsia="Arial Unicode MS" w:cs="Calibri"/>
          <w:sz w:val="22"/>
          <w:szCs w:val="22"/>
        </w:rPr>
        <w:t xml:space="preserve"> RNA (es </w:t>
      </w:r>
      <w:proofErr w:type="spellStart"/>
      <w:r w:rsidRPr="00CC5F31">
        <w:rPr>
          <w:rFonts w:eastAsia="Arial Unicode MS" w:cs="Calibri"/>
          <w:sz w:val="22"/>
          <w:szCs w:val="22"/>
        </w:rPr>
        <w:t>miRNA</w:t>
      </w:r>
      <w:proofErr w:type="spellEnd"/>
      <w:r w:rsidRPr="00CC5F31">
        <w:rPr>
          <w:rFonts w:eastAsia="Arial Unicode MS" w:cs="Calibri"/>
          <w:sz w:val="22"/>
          <w:szCs w:val="22"/>
        </w:rPr>
        <w:t xml:space="preserve">) da cellule e tessuti. Reazioni di PCR e Real Time PCR. </w:t>
      </w:r>
      <w:r w:rsidRPr="00CC5F31">
        <w:rPr>
          <w:rFonts w:eastAsia="Arial Unicode MS" w:cs="Calibri"/>
          <w:color w:val="000000"/>
          <w:sz w:val="22"/>
          <w:szCs w:val="22"/>
        </w:rPr>
        <w:t xml:space="preserve">Sequenziamento </w:t>
      </w:r>
      <w:proofErr w:type="spellStart"/>
      <w:r w:rsidRPr="00CC5F31">
        <w:rPr>
          <w:rFonts w:eastAsia="Arial Unicode MS" w:cs="Calibri"/>
          <w:color w:val="000000"/>
          <w:sz w:val="22"/>
          <w:szCs w:val="22"/>
        </w:rPr>
        <w:t>Sanger</w:t>
      </w:r>
      <w:proofErr w:type="spellEnd"/>
      <w:r w:rsidRPr="00CC5F31">
        <w:rPr>
          <w:rFonts w:eastAsia="Arial Unicode MS" w:cs="Calibri"/>
          <w:color w:val="000000"/>
          <w:sz w:val="22"/>
          <w:szCs w:val="22"/>
        </w:rPr>
        <w:t xml:space="preserve"> e </w:t>
      </w:r>
      <w:proofErr w:type="spellStart"/>
      <w:r w:rsidRPr="00CC5F31">
        <w:rPr>
          <w:rFonts w:eastAsia="Arial Unicode MS" w:cs="Calibri"/>
          <w:color w:val="000000"/>
          <w:sz w:val="22"/>
          <w:szCs w:val="22"/>
        </w:rPr>
        <w:t>Next</w:t>
      </w:r>
      <w:proofErr w:type="spellEnd"/>
      <w:r w:rsidRPr="00CC5F31">
        <w:rPr>
          <w:rFonts w:eastAsia="Arial Unicode MS" w:cs="Calibri"/>
          <w:color w:val="000000"/>
          <w:sz w:val="22"/>
          <w:szCs w:val="22"/>
        </w:rPr>
        <w:t xml:space="preserve"> Generation </w:t>
      </w:r>
      <w:proofErr w:type="spellStart"/>
      <w:r w:rsidRPr="00CC5F31">
        <w:rPr>
          <w:rFonts w:eastAsia="Arial Unicode MS" w:cs="Calibri"/>
          <w:color w:val="000000"/>
          <w:sz w:val="22"/>
          <w:szCs w:val="22"/>
        </w:rPr>
        <w:t>Sequencing</w:t>
      </w:r>
      <w:proofErr w:type="spellEnd"/>
      <w:r w:rsidRPr="00CC5F31">
        <w:rPr>
          <w:rFonts w:eastAsia="Arial Unicode MS" w:cs="Calibri"/>
          <w:color w:val="000000"/>
          <w:sz w:val="22"/>
          <w:szCs w:val="22"/>
        </w:rPr>
        <w:t xml:space="preserve">. </w:t>
      </w:r>
      <w:r w:rsidRPr="00205F5D">
        <w:rPr>
          <w:rFonts w:eastAsia="Arial Unicode MS" w:cs="Calibri"/>
          <w:b/>
          <w:color w:val="000000"/>
          <w:sz w:val="22"/>
          <w:szCs w:val="22"/>
        </w:rPr>
        <w:t>Tecniche di Biochimica:</w:t>
      </w:r>
      <w:r w:rsidRPr="00CC5F31">
        <w:rPr>
          <w:rFonts w:eastAsia="Arial Unicode MS" w:cs="Calibri"/>
          <w:color w:val="000000"/>
          <w:sz w:val="22"/>
          <w:szCs w:val="22"/>
        </w:rPr>
        <w:t xml:space="preserve"> </w:t>
      </w:r>
      <w:r w:rsidRPr="00CC5F31">
        <w:rPr>
          <w:rFonts w:eastAsia="Arial Unicode MS" w:cs="Calibri"/>
          <w:sz w:val="22"/>
          <w:szCs w:val="22"/>
        </w:rPr>
        <w:t xml:space="preserve">Estrazione di proteine da tessuti e cellule e loro quantizzazione; SDS-PAGE, Western </w:t>
      </w:r>
      <w:proofErr w:type="spellStart"/>
      <w:r w:rsidRPr="00CC5F31">
        <w:rPr>
          <w:rFonts w:eastAsia="Arial Unicode MS" w:cs="Calibri"/>
          <w:sz w:val="22"/>
          <w:szCs w:val="22"/>
        </w:rPr>
        <w:t>Blotting</w:t>
      </w:r>
      <w:proofErr w:type="spellEnd"/>
      <w:r w:rsidRPr="00CC5F31">
        <w:rPr>
          <w:rFonts w:eastAsia="Arial Unicode MS" w:cs="Calibri"/>
          <w:sz w:val="22"/>
          <w:szCs w:val="22"/>
        </w:rPr>
        <w:t xml:space="preserve">; </w:t>
      </w:r>
      <w:r w:rsidRPr="00205F5D">
        <w:rPr>
          <w:rFonts w:cs="Calibri"/>
          <w:b/>
          <w:bCs/>
          <w:sz w:val="22"/>
          <w:szCs w:val="22"/>
        </w:rPr>
        <w:t>Tecniche di Biologia Cellulare</w:t>
      </w:r>
      <w:r w:rsidRPr="00CC5F31">
        <w:rPr>
          <w:rFonts w:cs="Calibri"/>
          <w:sz w:val="22"/>
          <w:szCs w:val="22"/>
        </w:rPr>
        <w:t xml:space="preserve">: </w:t>
      </w:r>
      <w:r w:rsidRPr="00CC5F31">
        <w:rPr>
          <w:rFonts w:eastAsia="Arial Unicode MS" w:cs="Calibri"/>
          <w:color w:val="000000"/>
          <w:sz w:val="22"/>
          <w:szCs w:val="22"/>
        </w:rPr>
        <w:t xml:space="preserve">Colture cellulari, saggi di proliferazione, </w:t>
      </w:r>
      <w:proofErr w:type="spellStart"/>
      <w:r w:rsidRPr="00CC5F31">
        <w:rPr>
          <w:rFonts w:eastAsia="Arial Unicode MS" w:cs="Calibri"/>
          <w:color w:val="000000"/>
          <w:sz w:val="22"/>
          <w:szCs w:val="22"/>
        </w:rPr>
        <w:t>chemiosensibilità</w:t>
      </w:r>
      <w:proofErr w:type="spellEnd"/>
      <w:r w:rsidRPr="00CC5F31">
        <w:rPr>
          <w:rFonts w:eastAsia="Arial Unicode MS" w:cs="Calibri"/>
          <w:color w:val="000000"/>
          <w:sz w:val="22"/>
          <w:szCs w:val="22"/>
        </w:rPr>
        <w:t xml:space="preserve"> e </w:t>
      </w:r>
      <w:proofErr w:type="spellStart"/>
      <w:r w:rsidRPr="00CC5F31">
        <w:rPr>
          <w:rFonts w:eastAsia="Arial Unicode MS" w:cs="Calibri"/>
          <w:color w:val="000000"/>
          <w:sz w:val="22"/>
          <w:szCs w:val="22"/>
        </w:rPr>
        <w:t>clonogenici</w:t>
      </w:r>
      <w:proofErr w:type="spellEnd"/>
      <w:r w:rsidRPr="00CC5F31">
        <w:rPr>
          <w:rFonts w:eastAsia="Arial Unicode MS" w:cs="Calibri"/>
          <w:color w:val="000000"/>
          <w:sz w:val="22"/>
          <w:szCs w:val="22"/>
        </w:rPr>
        <w:t>.</w:t>
      </w:r>
      <w:r w:rsidRPr="00CC5F31">
        <w:rPr>
          <w:rFonts w:eastAsia="Arial Unicode MS" w:cs="Calibri"/>
          <w:sz w:val="22"/>
          <w:szCs w:val="22"/>
        </w:rPr>
        <w:t xml:space="preserve"> </w:t>
      </w:r>
      <w:r w:rsidRPr="00205F5D">
        <w:rPr>
          <w:rFonts w:eastAsia="Arial Unicode MS" w:cs="Calibri"/>
          <w:b/>
          <w:sz w:val="22"/>
          <w:szCs w:val="22"/>
        </w:rPr>
        <w:t>Tecniche di istologia di base:</w:t>
      </w:r>
      <w:r w:rsidRPr="00CC5F31">
        <w:rPr>
          <w:rFonts w:eastAsia="Arial Unicode MS" w:cs="Calibri"/>
          <w:sz w:val="22"/>
          <w:szCs w:val="22"/>
        </w:rPr>
        <w:t xml:space="preserve"> fissazione</w:t>
      </w:r>
      <w:r w:rsidRPr="009336D6">
        <w:rPr>
          <w:rFonts w:eastAsia="Arial Unicode MS" w:cs="Calibri"/>
          <w:sz w:val="22"/>
          <w:szCs w:val="22"/>
        </w:rPr>
        <w:t xml:space="preserve"> di pezzi anatomici in formalina ed inclusi in paraffina, taglio al microtomo di sezioni; tecniche di congelamento di pezzi anatomici, taglio di sezioni al criostato; principali </w:t>
      </w:r>
      <w:r w:rsidRPr="009336D6">
        <w:rPr>
          <w:rFonts w:eastAsia="Arial Unicode MS" w:cs="Calibri"/>
          <w:sz w:val="22"/>
          <w:szCs w:val="22"/>
        </w:rPr>
        <w:lastRenderedPageBreak/>
        <w:t>colorazioni istologiche</w:t>
      </w:r>
      <w:r w:rsidRPr="009336D6">
        <w:rPr>
          <w:rFonts w:eastAsia="Arial Unicode MS" w:cs="Calibri"/>
          <w:color w:val="000000"/>
          <w:sz w:val="22"/>
          <w:szCs w:val="22"/>
        </w:rPr>
        <w:t>.</w:t>
      </w:r>
      <w:r w:rsidRPr="009336D6">
        <w:rPr>
          <w:rFonts w:eastAsia="Arial Unicode MS" w:cs="Calibri"/>
          <w:sz w:val="22"/>
          <w:szCs w:val="22"/>
        </w:rPr>
        <w:t xml:space="preserve"> Istochimica ed immunoistochimica e immunofluorescenza su tessuti umani e cellule. </w:t>
      </w:r>
      <w:r w:rsidRPr="00CC5F31">
        <w:rPr>
          <w:rFonts w:cs="Calibri"/>
          <w:sz w:val="22"/>
          <w:szCs w:val="22"/>
        </w:rPr>
        <w:t>Buone conoscenze informatiche e bioinformatiche, Buona Conoscenza della Lingua Inglese</w:t>
      </w:r>
    </w:p>
    <w:p w:rsidR="00B9532C" w:rsidRPr="00CB5823" w:rsidRDefault="00B9532C" w:rsidP="00CB5823">
      <w:pPr>
        <w:spacing w:line="360" w:lineRule="auto"/>
        <w:jc w:val="both"/>
      </w:pP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2064F9" w:rsidRPr="002064F9">
        <w:t xml:space="preserve">UOSD </w:t>
      </w:r>
      <w:r w:rsidR="00CC5F31">
        <w:t>Modelli Preclinici</w:t>
      </w:r>
      <w:r w:rsidR="0096134D" w:rsidRPr="002064F9">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F33D39">
        <w:t>Dr.</w:t>
      </w:r>
      <w:r w:rsidR="00CC5F31">
        <w:t xml:space="preserve">ssa Donatella Del Bufalo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w:t>
      </w:r>
      <w:r w:rsidRPr="000A01FD">
        <w:lastRenderedPageBreak/>
        <w:t xml:space="preserve">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lastRenderedPageBreak/>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212954" w:rsidRDefault="00212954" w:rsidP="00115DD8">
      <w:pPr>
        <w:spacing w:line="360" w:lineRule="auto"/>
        <w:jc w:val="both"/>
        <w:rPr>
          <w:sz w:val="16"/>
          <w:szCs w:val="16"/>
        </w:rPr>
      </w:pPr>
    </w:p>
    <w:p w:rsidR="00CC7CD6" w:rsidRPr="00CC7CD6" w:rsidRDefault="00CC7CD6" w:rsidP="00115DD8">
      <w:pPr>
        <w:spacing w:line="360" w:lineRule="auto"/>
        <w:jc w:val="both"/>
        <w:rPr>
          <w:sz w:val="16"/>
          <w:szCs w:val="16"/>
        </w:rPr>
      </w:pP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31E" w:rsidRDefault="0066531E" w:rsidP="001B72A0">
      <w:r>
        <w:separator/>
      </w:r>
    </w:p>
  </w:endnote>
  <w:endnote w:type="continuationSeparator" w:id="0">
    <w:p w:rsidR="0066531E" w:rsidRDefault="0066531E"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31E" w:rsidRDefault="0066531E" w:rsidP="001B72A0">
      <w:r>
        <w:separator/>
      </w:r>
    </w:p>
  </w:footnote>
  <w:footnote w:type="continuationSeparator" w:id="0">
    <w:p w:rsidR="0066531E" w:rsidRDefault="0066531E"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0088"/>
    <w:rsid w:val="00115DD8"/>
    <w:rsid w:val="0012025E"/>
    <w:rsid w:val="00122811"/>
    <w:rsid w:val="0012745F"/>
    <w:rsid w:val="00141144"/>
    <w:rsid w:val="001567B6"/>
    <w:rsid w:val="001653ED"/>
    <w:rsid w:val="001725EA"/>
    <w:rsid w:val="00173949"/>
    <w:rsid w:val="001920B5"/>
    <w:rsid w:val="001B72A0"/>
    <w:rsid w:val="001B7AA4"/>
    <w:rsid w:val="001D6346"/>
    <w:rsid w:val="001E0185"/>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415332"/>
    <w:rsid w:val="0042027D"/>
    <w:rsid w:val="0042266A"/>
    <w:rsid w:val="00437933"/>
    <w:rsid w:val="0044203C"/>
    <w:rsid w:val="00450FAE"/>
    <w:rsid w:val="00467AB6"/>
    <w:rsid w:val="00472E46"/>
    <w:rsid w:val="00492F31"/>
    <w:rsid w:val="004B0B68"/>
    <w:rsid w:val="004C54E3"/>
    <w:rsid w:val="004C593F"/>
    <w:rsid w:val="004C5DAB"/>
    <w:rsid w:val="0051437C"/>
    <w:rsid w:val="0055055E"/>
    <w:rsid w:val="00592C0F"/>
    <w:rsid w:val="00592D3E"/>
    <w:rsid w:val="005B120B"/>
    <w:rsid w:val="005E1168"/>
    <w:rsid w:val="00600995"/>
    <w:rsid w:val="006210CD"/>
    <w:rsid w:val="00622538"/>
    <w:rsid w:val="0066531E"/>
    <w:rsid w:val="00676BC5"/>
    <w:rsid w:val="006C088C"/>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3AF4"/>
    <w:rsid w:val="00E2227B"/>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E98E9-10D0-4948-A452-55A1ED3D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12535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2019-01-31T09:09:00Z</cp:lastPrinted>
  <dcterms:created xsi:type="dcterms:W3CDTF">2019-01-31T09:09:00Z</dcterms:created>
  <dcterms:modified xsi:type="dcterms:W3CDTF">2019-01-31T09:09:00Z</dcterms:modified>
</cp:coreProperties>
</file>