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A75392">
        <w:rPr>
          <w:rFonts w:asciiTheme="minorHAnsi" w:hAnsiTheme="minorHAnsi"/>
          <w:b/>
          <w:sz w:val="28"/>
          <w:szCs w:val="28"/>
        </w:rPr>
        <w:t>9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B2583A" w:rsidRPr="00B2583A">
        <w:t>ONCOLOGI</w:t>
      </w:r>
      <w:r w:rsidR="00CE0032" w:rsidRPr="00B2583A">
        <w:t>A</w:t>
      </w:r>
      <w:r w:rsidR="00FD71C0" w:rsidRPr="00B2583A">
        <w:t xml:space="preserve"> </w:t>
      </w:r>
      <w:r w:rsidR="00B2583A" w:rsidRPr="00B2583A">
        <w:t xml:space="preserve">MEDICA 1 </w:t>
      </w:r>
      <w:r w:rsidR="00A75392">
        <w:t xml:space="preserve">e </w:t>
      </w:r>
      <w:r w:rsidR="00A75392" w:rsidRPr="00A75392">
        <w:t>CLINICA TRIAL CENTER 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B2583A" w:rsidRPr="00B2583A">
        <w:t>Sperimentazioni OM1</w:t>
      </w:r>
      <w:r w:rsidRPr="00B2583A">
        <w:t xml:space="preserve"> 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B2583A" w:rsidRPr="00B2583A">
        <w:t>Prof. Francesco Cognetti</w:t>
      </w:r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bookmarkStart w:id="0" w:name="_GoBack"/>
      <w:bookmarkEnd w:id="0"/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“Individuazione dei pazienti che possono partecipare agli studi attivi presso la UOC OM1, monitoraggio e gestione dei pazienti stessi secondo le richieste dei protocolli di studio”.</w:t>
      </w:r>
      <w:r w:rsidR="003020A5" w:rsidRPr="003020A5">
        <w:rPr>
          <w:bCs/>
        </w:rPr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Default="00AB466F" w:rsidP="00FD71C0">
      <w:pPr>
        <w:contextualSpacing/>
        <w:jc w:val="both"/>
        <w:rPr>
          <w:b/>
        </w:rPr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B2583A" w:rsidRPr="00B2583A">
        <w:t>Prof. Francesco Cognetti</w:t>
      </w:r>
      <w:r w:rsidR="00B2583A" w:rsidRPr="00FD71C0">
        <w:rPr>
          <w:b/>
        </w:rPr>
        <w:t xml:space="preserve"> 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A75392" w:rsidRPr="00A75392">
        <w:t xml:space="preserve">Clinica Trial </w:t>
      </w:r>
      <w:r w:rsidR="00A75392" w:rsidRPr="004C660B">
        <w:t>Center e</w:t>
      </w:r>
      <w:r w:rsidR="00A75392">
        <w:rPr>
          <w:b/>
        </w:rPr>
        <w:t xml:space="preserve"> </w:t>
      </w:r>
      <w:r w:rsidR="00A75392" w:rsidRPr="00A75392">
        <w:t>la UOC</w:t>
      </w:r>
      <w:r w:rsidR="00B2583A">
        <w:t xml:space="preserve"> </w:t>
      </w:r>
      <w:r w:rsidR="00A75392">
        <w:t>Oncologia Medica 1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B2583A">
        <w:t>Sperimentazioni OM1</w:t>
      </w:r>
    </w:p>
    <w:p w:rsidR="00A75392" w:rsidRPr="00A75392" w:rsidRDefault="00AB466F" w:rsidP="00A75392">
      <w:pPr>
        <w:widowControl w:val="0"/>
        <w:autoSpaceDE w:val="0"/>
        <w:autoSpaceDN w:val="0"/>
        <w:adjustRightInd w:val="0"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A75392" w:rsidRPr="00A75392">
        <w:t>Laurea in Psicologia</w:t>
      </w:r>
      <w:r w:rsidR="00A75392">
        <w:t xml:space="preserve"> o equipollenti, </w:t>
      </w:r>
      <w:r w:rsidR="00A75392" w:rsidRPr="00A75392">
        <w:t xml:space="preserve">(professionisti con comprovata specializzazione, regolarmente iscritti ad Albi, Elenchi o Ruoli per attività professionali per l’esercizio delle quali l’iscrizione è obbligatoria in possesso di Partita IVA); </w:t>
      </w:r>
    </w:p>
    <w:p w:rsidR="00AB466F" w:rsidRPr="00FD71C0" w:rsidRDefault="00601110" w:rsidP="00FD71C0">
      <w:pPr>
        <w:jc w:val="both"/>
      </w:pPr>
      <w:r>
        <w:t>.</w:t>
      </w:r>
    </w:p>
    <w:p w:rsidR="00AB466F" w:rsidRPr="00601110" w:rsidRDefault="00AB466F" w:rsidP="00FD71C0">
      <w:pPr>
        <w:jc w:val="both"/>
        <w:rPr>
          <w:sz w:val="18"/>
          <w:szCs w:val="18"/>
        </w:rPr>
      </w:pPr>
    </w:p>
    <w:p w:rsidR="00A75392" w:rsidRPr="00A75392" w:rsidRDefault="00AB466F" w:rsidP="00A75392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FD71C0">
        <w:rPr>
          <w:b/>
        </w:rPr>
        <w:t>Competenze ed Esperienze:</w:t>
      </w:r>
      <w:r w:rsidRPr="00FD71C0">
        <w:t xml:space="preserve"> </w:t>
      </w:r>
      <w:r w:rsidR="00A75392" w:rsidRPr="00A75392">
        <w:rPr>
          <w:rFonts w:eastAsia="Times New Roman"/>
        </w:rPr>
        <w:t>esperienza di almeno 3 anni nella gestione di studi clinici presso un IRCCS oncologico</w:t>
      </w:r>
    </w:p>
    <w:p w:rsidR="000C503D" w:rsidRPr="00601110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A75392" w:rsidRPr="00A75392">
        <w:t xml:space="preserve">Il compenso lordo per la durata dell’incarico sarà pari a 32.000,00 € Iva e Rivalsa esclusa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lastRenderedPageBreak/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57EBD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77EB-0514-479A-AE64-869CD86A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19</cp:revision>
  <cp:lastPrinted>2019-03-19T07:51:00Z</cp:lastPrinted>
  <dcterms:created xsi:type="dcterms:W3CDTF">2017-10-23T08:19:00Z</dcterms:created>
  <dcterms:modified xsi:type="dcterms:W3CDTF">2019-03-19T08:35:00Z</dcterms:modified>
</cp:coreProperties>
</file>