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Fornitura di </w:t>
      </w:r>
      <w:r w:rsidRPr="00263DA6">
        <w:rPr>
          <w:b/>
          <w:bCs/>
          <w:sz w:val="23"/>
          <w:szCs w:val="23"/>
        </w:rPr>
        <w:t>“</w:t>
      </w:r>
      <w:r w:rsidR="00263DA6">
        <w:rPr>
          <w:b/>
          <w:bCs/>
          <w:sz w:val="23"/>
          <w:szCs w:val="23"/>
        </w:rPr>
        <w:t>cateteri a doppio palloncino gonfiabile a clessidra</w:t>
      </w:r>
      <w:r w:rsidR="00662190" w:rsidRPr="00263DA6">
        <w:rPr>
          <w:b/>
          <w:bCs/>
          <w:sz w:val="23"/>
          <w:szCs w:val="23"/>
        </w:rPr>
        <w:t xml:space="preserve">” occorrenti alla UOC </w:t>
      </w:r>
      <w:r w:rsidR="00263DA6">
        <w:rPr>
          <w:b/>
          <w:bCs/>
          <w:sz w:val="23"/>
          <w:szCs w:val="23"/>
        </w:rPr>
        <w:t>Neurochirurgia degli IFO</w:t>
      </w:r>
      <w:bookmarkStart w:id="0" w:name="_GoBack"/>
      <w:bookmarkEnd w:id="0"/>
      <w:r w:rsidR="002B166F" w:rsidRPr="00263DA6">
        <w:rPr>
          <w:b/>
          <w:bCs/>
          <w:sz w:val="23"/>
          <w:szCs w:val="23"/>
        </w:rPr>
        <w:t xml:space="preserve"> per il periodo di 12 mesi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2267DE"/>
    <w:rsid w:val="00263DA6"/>
    <w:rsid w:val="002A3DD3"/>
    <w:rsid w:val="002B166F"/>
    <w:rsid w:val="00635401"/>
    <w:rsid w:val="00662190"/>
    <w:rsid w:val="00753CEA"/>
    <w:rsid w:val="00787A64"/>
    <w:rsid w:val="0094042B"/>
    <w:rsid w:val="00B447F5"/>
    <w:rsid w:val="00C64398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BB20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4</cp:revision>
  <dcterms:created xsi:type="dcterms:W3CDTF">2018-05-21T07:44:00Z</dcterms:created>
  <dcterms:modified xsi:type="dcterms:W3CDTF">2018-05-21T07:47:00Z</dcterms:modified>
</cp:coreProperties>
</file>