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FB2829">
        <w:rPr>
          <w:b/>
          <w:bCs/>
          <w:sz w:val="23"/>
          <w:szCs w:val="23"/>
        </w:rPr>
        <w:t>sondini naso gastrici per la misurazione e il monitoraggio della pressione esofagea e gastrica”, occorrente alla UOC Anestesia, Rianimazione e Terapia Intensiva degli IFO per il periodo di 12 mesi</w:t>
      </w:r>
      <w:bookmarkStart w:id="0" w:name="_GoBack"/>
      <w:bookmarkEnd w:id="0"/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2267DE"/>
    <w:rsid w:val="00753CEA"/>
    <w:rsid w:val="00787A64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A950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3</cp:revision>
  <dcterms:created xsi:type="dcterms:W3CDTF">2018-02-07T10:47:00Z</dcterms:created>
  <dcterms:modified xsi:type="dcterms:W3CDTF">2018-03-26T06:40:00Z</dcterms:modified>
</cp:coreProperties>
</file>