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E01726">
        <w:t>SISTEMA DI DIVARICAZIONE MAXOP CABLE WINCH</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A9D" w:rsidRDefault="009F6A9D" w:rsidP="00295191">
      <w:pPr>
        <w:spacing w:after="0" w:line="240" w:lineRule="auto"/>
      </w:pPr>
      <w:r>
        <w:separator/>
      </w:r>
    </w:p>
  </w:endnote>
  <w:endnote w:type="continuationSeparator" w:id="0">
    <w:p w:rsidR="009F6A9D" w:rsidRDefault="009F6A9D"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A9D" w:rsidRDefault="009F6A9D" w:rsidP="00295191">
      <w:pPr>
        <w:spacing w:after="0" w:line="240" w:lineRule="auto"/>
      </w:pPr>
      <w:r>
        <w:separator/>
      </w:r>
    </w:p>
  </w:footnote>
  <w:footnote w:type="continuationSeparator" w:id="0">
    <w:p w:rsidR="009F6A9D" w:rsidRDefault="009F6A9D"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C5236"/>
    <w:rsid w:val="001E0D2B"/>
    <w:rsid w:val="001E0FB8"/>
    <w:rsid w:val="00206613"/>
    <w:rsid w:val="002100C0"/>
    <w:rsid w:val="002405C7"/>
    <w:rsid w:val="00295191"/>
    <w:rsid w:val="002C41F1"/>
    <w:rsid w:val="002D7EAF"/>
    <w:rsid w:val="003035A2"/>
    <w:rsid w:val="0031655E"/>
    <w:rsid w:val="00382EEC"/>
    <w:rsid w:val="00440B59"/>
    <w:rsid w:val="004E0313"/>
    <w:rsid w:val="004E2F14"/>
    <w:rsid w:val="005708DC"/>
    <w:rsid w:val="005819DB"/>
    <w:rsid w:val="00590C9A"/>
    <w:rsid w:val="00650924"/>
    <w:rsid w:val="00682372"/>
    <w:rsid w:val="00753CEA"/>
    <w:rsid w:val="007A21A7"/>
    <w:rsid w:val="007C693C"/>
    <w:rsid w:val="007E5B8A"/>
    <w:rsid w:val="007E68DD"/>
    <w:rsid w:val="00810E18"/>
    <w:rsid w:val="00893BB2"/>
    <w:rsid w:val="00894591"/>
    <w:rsid w:val="008A51EB"/>
    <w:rsid w:val="008B68F3"/>
    <w:rsid w:val="00927D86"/>
    <w:rsid w:val="009830AB"/>
    <w:rsid w:val="00996DEA"/>
    <w:rsid w:val="009B2A98"/>
    <w:rsid w:val="009F6A9D"/>
    <w:rsid w:val="00A26D5F"/>
    <w:rsid w:val="00A31468"/>
    <w:rsid w:val="00A35BB0"/>
    <w:rsid w:val="00AA0293"/>
    <w:rsid w:val="00AD316C"/>
    <w:rsid w:val="00B01B81"/>
    <w:rsid w:val="00B41547"/>
    <w:rsid w:val="00B447F5"/>
    <w:rsid w:val="00BB51B6"/>
    <w:rsid w:val="00C334AF"/>
    <w:rsid w:val="00CC4E5F"/>
    <w:rsid w:val="00CE7022"/>
    <w:rsid w:val="00D96E47"/>
    <w:rsid w:val="00DA5844"/>
    <w:rsid w:val="00DD1F00"/>
    <w:rsid w:val="00DF6833"/>
    <w:rsid w:val="00DF6C5F"/>
    <w:rsid w:val="00E01726"/>
    <w:rsid w:val="00E76DFA"/>
    <w:rsid w:val="00ED1C44"/>
    <w:rsid w:val="00F348F9"/>
    <w:rsid w:val="00F6578F"/>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6E96"/>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3</cp:revision>
  <cp:lastPrinted>2019-01-11T08:03:00Z</cp:lastPrinted>
  <dcterms:created xsi:type="dcterms:W3CDTF">2019-07-11T13:33:00Z</dcterms:created>
  <dcterms:modified xsi:type="dcterms:W3CDTF">2019-07-11T13:35:00Z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