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55779">
        <w:rPr>
          <w:rFonts w:asciiTheme="minorHAnsi" w:hAnsiTheme="minorHAnsi"/>
          <w:b/>
          <w:sz w:val="28"/>
          <w:szCs w:val="28"/>
        </w:rPr>
        <w:t>35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1 </w:t>
      </w:r>
      <w:r w:rsidR="00753948" w:rsidRPr="00B2583A">
        <w:t>DELL’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B2583A" w:rsidRPr="00B2583A">
        <w:t>Sperimentazioni OM1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B2583A" w:rsidRPr="00B2583A">
        <w:t>Prof. Francesco Cognetti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“monitoraggio e gestione de</w:t>
      </w:r>
      <w:r w:rsidR="00E55779">
        <w:t>lle</w:t>
      </w:r>
      <w:r w:rsidR="00B2583A">
        <w:t xml:space="preserve"> </w:t>
      </w:r>
      <w:r w:rsidR="00E55779">
        <w:t>proposte di studi clinici presso l’Oncologia Medica 1</w:t>
      </w:r>
      <w:r w:rsidR="00B2583A">
        <w:t>”.</w:t>
      </w:r>
      <w:r w:rsidR="003020A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Default="00AB466F" w:rsidP="00FD71C0">
      <w:pPr>
        <w:contextualSpacing/>
        <w:jc w:val="both"/>
        <w:rPr>
          <w:b/>
        </w:rPr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B2583A" w:rsidRPr="00B2583A">
        <w:t>Prof. Francesco Cognetti</w:t>
      </w:r>
      <w:r w:rsidR="00B2583A" w:rsidRPr="00FD71C0">
        <w:rPr>
          <w:b/>
        </w:rPr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B2583A">
        <w:t>UOC OM1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B2583A">
        <w:t>Sperimentazioni OM1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B50A2C">
        <w:t xml:space="preserve">Diploma di scuola secondaria, </w:t>
      </w:r>
    </w:p>
    <w:p w:rsidR="00AB466F" w:rsidRPr="00601110" w:rsidRDefault="00AB466F" w:rsidP="00FD71C0">
      <w:pPr>
        <w:jc w:val="both"/>
        <w:rPr>
          <w:sz w:val="18"/>
          <w:szCs w:val="18"/>
        </w:rPr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B2583A">
        <w:t xml:space="preserve">Esperienza </w:t>
      </w:r>
      <w:r w:rsidR="00B50A2C">
        <w:t xml:space="preserve">di almeno 2 anni nel monitoraggio e gestione delle proposte di studi clinici presso un IRCCS oncologico, </w:t>
      </w:r>
      <w:r w:rsidR="00E937AD">
        <w:t>b</w:t>
      </w:r>
      <w:r w:rsidR="00B50A2C">
        <w:t>uona conoscenza della lingua inglese;</w:t>
      </w:r>
    </w:p>
    <w:p w:rsidR="000C503D" w:rsidRPr="00601110" w:rsidRDefault="000C503D" w:rsidP="002C3CDE">
      <w:pPr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B50A2C">
        <w:t>28</w:t>
      </w:r>
      <w:r w:rsidR="00B2583A">
        <w:t>.000,00</w:t>
      </w:r>
      <w:r w:rsidR="00267295" w:rsidRPr="00FD71C0">
        <w:t xml:space="preserve"> Iva e Rivalsa </w:t>
      </w:r>
      <w:bookmarkStart w:id="0" w:name="_GoBack"/>
      <w:bookmarkEnd w:id="0"/>
      <w:r w:rsidR="00267295" w:rsidRPr="00FD71C0">
        <w:t>inclusa,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lastRenderedPageBreak/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A307-2C17-4B78-9DCE-16215051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19</cp:revision>
  <cp:lastPrinted>2019-09-11T07:59:00Z</cp:lastPrinted>
  <dcterms:created xsi:type="dcterms:W3CDTF">2017-10-23T08:19:00Z</dcterms:created>
  <dcterms:modified xsi:type="dcterms:W3CDTF">2019-09-18T06:51:00Z</dcterms:modified>
</cp:coreProperties>
</file>