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5A5D6F">
        <w:rPr>
          <w:b/>
        </w:rPr>
        <w:t>6</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9307A7" w:rsidRDefault="00DE6334" w:rsidP="002C1907">
      <w:pPr>
        <w:spacing w:line="360" w:lineRule="auto"/>
        <w:jc w:val="both"/>
        <w:rPr>
          <w:rStyle w:val="Collegamentoipertestuale"/>
          <w:rFonts w:asciiTheme="majorHAnsi" w:hAnsiTheme="majorHAnsi"/>
          <w:color w:val="auto"/>
          <w:sz w:val="22"/>
          <w:szCs w:val="22"/>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263A54">
        <w:t>C</w:t>
      </w:r>
      <w:r w:rsidR="00B73988" w:rsidRPr="00313D9D">
        <w:t>,</w:t>
      </w:r>
      <w:r w:rsidR="00A677C0" w:rsidRPr="00313D9D">
        <w:t xml:space="preserve"> nell’ambito del progetto di ricerca dal titolo </w:t>
      </w:r>
      <w:r w:rsidR="002C1907">
        <w:rPr>
          <w:rFonts w:asciiTheme="majorHAnsi" w:hAnsiTheme="majorHAnsi"/>
          <w:sz w:val="22"/>
          <w:szCs w:val="22"/>
        </w:rPr>
        <w:t>: “</w:t>
      </w:r>
      <w:proofErr w:type="spellStart"/>
      <w:r w:rsidR="002C1907">
        <w:rPr>
          <w:rFonts w:asciiTheme="majorHAnsi" w:hAnsiTheme="majorHAnsi"/>
          <w:i/>
          <w:sz w:val="22"/>
          <w:szCs w:val="22"/>
        </w:rPr>
        <w:t>Research</w:t>
      </w:r>
      <w:proofErr w:type="spellEnd"/>
      <w:r w:rsidR="002C1907">
        <w:rPr>
          <w:rFonts w:asciiTheme="majorHAnsi" w:hAnsiTheme="majorHAnsi"/>
          <w:i/>
          <w:sz w:val="22"/>
          <w:szCs w:val="22"/>
        </w:rPr>
        <w:t xml:space="preserve"> </w:t>
      </w:r>
      <w:proofErr w:type="spellStart"/>
      <w:r w:rsidR="002C1907">
        <w:rPr>
          <w:rFonts w:asciiTheme="majorHAnsi" w:hAnsiTheme="majorHAnsi"/>
          <w:i/>
          <w:sz w:val="22"/>
          <w:szCs w:val="22"/>
        </w:rPr>
        <w:t>project</w:t>
      </w:r>
      <w:proofErr w:type="spellEnd"/>
      <w:r w:rsidR="002C1907">
        <w:rPr>
          <w:rFonts w:asciiTheme="majorHAnsi" w:hAnsiTheme="majorHAnsi"/>
          <w:i/>
          <w:sz w:val="22"/>
          <w:szCs w:val="22"/>
        </w:rPr>
        <w:t xml:space="preserve"> on CAR T </w:t>
      </w:r>
      <w:proofErr w:type="spellStart"/>
      <w:r w:rsidR="002C1907">
        <w:rPr>
          <w:rFonts w:asciiTheme="majorHAnsi" w:hAnsiTheme="majorHAnsi"/>
          <w:i/>
          <w:sz w:val="22"/>
          <w:szCs w:val="22"/>
        </w:rPr>
        <w:t>cells</w:t>
      </w:r>
      <w:proofErr w:type="spellEnd"/>
      <w:r w:rsidR="002C1907">
        <w:rPr>
          <w:rFonts w:asciiTheme="majorHAnsi" w:hAnsiTheme="majorHAnsi"/>
          <w:i/>
          <w:sz w:val="22"/>
          <w:szCs w:val="22"/>
        </w:rPr>
        <w:t xml:space="preserve"> for </w:t>
      </w:r>
      <w:proofErr w:type="spellStart"/>
      <w:r w:rsidR="002C1907">
        <w:rPr>
          <w:rFonts w:asciiTheme="majorHAnsi" w:hAnsiTheme="majorHAnsi"/>
          <w:i/>
          <w:sz w:val="22"/>
          <w:szCs w:val="22"/>
        </w:rPr>
        <w:t>hematological</w:t>
      </w:r>
      <w:proofErr w:type="spellEnd"/>
      <w:r w:rsidR="002C1907">
        <w:rPr>
          <w:rFonts w:asciiTheme="majorHAnsi" w:hAnsiTheme="majorHAnsi"/>
          <w:i/>
          <w:sz w:val="22"/>
          <w:szCs w:val="22"/>
        </w:rPr>
        <w:t xml:space="preserve"> </w:t>
      </w:r>
      <w:proofErr w:type="spellStart"/>
      <w:r w:rsidR="002C1907">
        <w:rPr>
          <w:rFonts w:asciiTheme="majorHAnsi" w:hAnsiTheme="majorHAnsi"/>
          <w:i/>
          <w:sz w:val="22"/>
          <w:szCs w:val="22"/>
        </w:rPr>
        <w:t>malignancies</w:t>
      </w:r>
      <w:proofErr w:type="spellEnd"/>
      <w:r w:rsidR="002C1907">
        <w:rPr>
          <w:rFonts w:asciiTheme="majorHAnsi" w:hAnsiTheme="majorHAnsi"/>
          <w:i/>
          <w:sz w:val="22"/>
          <w:szCs w:val="22"/>
        </w:rPr>
        <w:t xml:space="preserve"> and </w:t>
      </w:r>
      <w:proofErr w:type="spellStart"/>
      <w:r w:rsidR="002C1907">
        <w:rPr>
          <w:rFonts w:asciiTheme="majorHAnsi" w:hAnsiTheme="majorHAnsi"/>
          <w:i/>
          <w:sz w:val="22"/>
          <w:szCs w:val="22"/>
        </w:rPr>
        <w:t>solid</w:t>
      </w:r>
      <w:proofErr w:type="spellEnd"/>
      <w:r w:rsidR="002C1907">
        <w:rPr>
          <w:rFonts w:asciiTheme="majorHAnsi" w:hAnsiTheme="majorHAnsi"/>
          <w:i/>
          <w:sz w:val="22"/>
          <w:szCs w:val="22"/>
        </w:rPr>
        <w:t xml:space="preserve"> </w:t>
      </w:r>
      <w:proofErr w:type="spellStart"/>
      <w:r w:rsidR="002C1907">
        <w:rPr>
          <w:rFonts w:asciiTheme="majorHAnsi" w:hAnsiTheme="majorHAnsi"/>
          <w:i/>
          <w:sz w:val="22"/>
          <w:szCs w:val="22"/>
        </w:rPr>
        <w:t>tumors</w:t>
      </w:r>
      <w:proofErr w:type="spellEnd"/>
      <w:r w:rsidR="002C1907" w:rsidRPr="009307A7">
        <w:rPr>
          <w:rFonts w:asciiTheme="majorHAnsi" w:hAnsiTheme="majorHAnsi"/>
          <w:sz w:val="22"/>
          <w:szCs w:val="22"/>
        </w:rPr>
        <w:t xml:space="preserve">", </w:t>
      </w:r>
      <w:r w:rsidR="00592D3E" w:rsidRPr="009307A7">
        <w:rPr>
          <w:i/>
        </w:rPr>
        <w:t xml:space="preserve"> </w:t>
      </w:r>
      <w:r w:rsidR="007526E9" w:rsidRPr="009307A7">
        <w:t xml:space="preserve">sul fondo </w:t>
      </w:r>
      <w:proofErr w:type="spellStart"/>
      <w:r w:rsidR="005D27D5" w:rsidRPr="009307A7">
        <w:t>Cod</w:t>
      </w:r>
      <w:proofErr w:type="spellEnd"/>
      <w:r w:rsidR="005D27D5" w:rsidRPr="009307A7">
        <w:t xml:space="preserve"> IFO </w:t>
      </w:r>
      <w:r w:rsidR="00D71915">
        <w:t xml:space="preserve">20/01/R/16   </w:t>
      </w:r>
      <w:r w:rsidR="002C1907" w:rsidRPr="009307A7">
        <w:rPr>
          <w:sz w:val="22"/>
          <w:szCs w:val="22"/>
          <w:shd w:val="clear" w:color="auto" w:fill="FFFFFF"/>
        </w:rPr>
        <w:t xml:space="preserve">RCR-2019-23669115 </w:t>
      </w:r>
      <w:r w:rsidR="00E10542" w:rsidRPr="009307A7">
        <w:t xml:space="preserve">di cui è </w:t>
      </w:r>
      <w:r w:rsidR="002C1907" w:rsidRPr="009307A7">
        <w:t xml:space="preserve"> </w:t>
      </w:r>
      <w:r w:rsidR="00E10542" w:rsidRPr="009307A7">
        <w:t xml:space="preserve">responsabile  </w:t>
      </w:r>
      <w:r w:rsidR="002C1907" w:rsidRPr="009307A7">
        <w:rPr>
          <w:rFonts w:asciiTheme="majorHAnsi" w:hAnsiTheme="majorHAnsi"/>
          <w:sz w:val="22"/>
          <w:szCs w:val="22"/>
        </w:rPr>
        <w:t>la Dr.ssa Paola Nisticò</w:t>
      </w:r>
      <w:r w:rsidR="002C1907" w:rsidRPr="009307A7">
        <w:rPr>
          <w:rStyle w:val="Collegamentoipertestuale"/>
          <w:rFonts w:asciiTheme="majorHAnsi" w:hAnsiTheme="majorHAnsi"/>
          <w:color w:val="auto"/>
          <w:sz w:val="22"/>
          <w:szCs w:val="22"/>
        </w:rPr>
        <w:t>.</w:t>
      </w:r>
    </w:p>
    <w:p w:rsidR="002C1907" w:rsidRPr="009307A7" w:rsidRDefault="002C1907" w:rsidP="002C1907">
      <w:pPr>
        <w:ind w:left="5040" w:hanging="5891"/>
        <w:contextualSpacing/>
      </w:pP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bookmarkStart w:id="0" w:name="_GoBack"/>
      <w:bookmarkEnd w:id="0"/>
    </w:p>
    <w:p w:rsidR="00063E39" w:rsidRPr="009307A7" w:rsidRDefault="00A677C0" w:rsidP="000C42A9">
      <w:pPr>
        <w:spacing w:line="360" w:lineRule="auto"/>
        <w:jc w:val="both"/>
      </w:pPr>
      <w:r w:rsidRPr="009307A7">
        <w:rPr>
          <w:b/>
        </w:rPr>
        <w:t>Durata:</w:t>
      </w:r>
      <w:r w:rsidRPr="009307A7">
        <w:t xml:space="preserve"> </w:t>
      </w:r>
      <w:r w:rsidR="00CA19FD" w:rsidRPr="009307A7">
        <w:t>1</w:t>
      </w:r>
      <w:r w:rsidR="00E10542" w:rsidRPr="009307A7">
        <w:t>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2C1907" w:rsidRDefault="002C1907" w:rsidP="002C1907">
      <w:pPr>
        <w:pStyle w:val="Paragrafoelenco"/>
        <w:numPr>
          <w:ilvl w:val="0"/>
          <w:numId w:val="16"/>
        </w:numPr>
        <w:spacing w:line="360" w:lineRule="auto"/>
        <w:contextualSpacing/>
        <w:rPr>
          <w:rFonts w:asciiTheme="majorHAnsi" w:hAnsiTheme="majorHAnsi"/>
          <w:sz w:val="22"/>
          <w:szCs w:val="22"/>
        </w:rPr>
      </w:pPr>
      <w:r w:rsidRPr="009307A7">
        <w:rPr>
          <w:rFonts w:asciiTheme="majorHAnsi" w:hAnsiTheme="majorHAnsi"/>
          <w:sz w:val="22"/>
          <w:szCs w:val="22"/>
        </w:rPr>
        <w:t xml:space="preserve">Analisi </w:t>
      </w:r>
      <w:proofErr w:type="spellStart"/>
      <w:r w:rsidRPr="009307A7">
        <w:rPr>
          <w:rFonts w:asciiTheme="majorHAnsi" w:hAnsiTheme="majorHAnsi"/>
          <w:sz w:val="22"/>
          <w:szCs w:val="22"/>
        </w:rPr>
        <w:t>immuno</w:t>
      </w:r>
      <w:proofErr w:type="spellEnd"/>
      <w:r w:rsidRPr="009307A7">
        <w:rPr>
          <w:rFonts w:asciiTheme="majorHAnsi" w:hAnsiTheme="majorHAnsi"/>
          <w:sz w:val="22"/>
          <w:szCs w:val="22"/>
        </w:rPr>
        <w:t>-istologica di tessuti tumorali e sani di origine murina e di derivazione</w:t>
      </w:r>
      <w:r>
        <w:rPr>
          <w:rFonts w:asciiTheme="majorHAnsi" w:hAnsiTheme="majorHAnsi"/>
          <w:sz w:val="22"/>
          <w:szCs w:val="22"/>
        </w:rPr>
        <w:t xml:space="preserve"> umana;</w:t>
      </w:r>
    </w:p>
    <w:p w:rsidR="002C1907" w:rsidRDefault="002C1907" w:rsidP="002C1907">
      <w:pPr>
        <w:pStyle w:val="Paragrafoelenco"/>
        <w:numPr>
          <w:ilvl w:val="0"/>
          <w:numId w:val="16"/>
        </w:numPr>
        <w:spacing w:line="360" w:lineRule="auto"/>
        <w:contextualSpacing/>
        <w:rPr>
          <w:rFonts w:asciiTheme="majorHAnsi" w:hAnsiTheme="majorHAnsi"/>
          <w:sz w:val="22"/>
          <w:szCs w:val="22"/>
        </w:rPr>
      </w:pPr>
      <w:r>
        <w:rPr>
          <w:rFonts w:asciiTheme="majorHAnsi" w:hAnsiTheme="majorHAnsi"/>
          <w:sz w:val="22"/>
          <w:szCs w:val="22"/>
        </w:rPr>
        <w:t xml:space="preserve">Analisi di modelli cellulari 3D che riproducano </w:t>
      </w:r>
      <w:r>
        <w:rPr>
          <w:rFonts w:asciiTheme="majorHAnsi" w:hAnsiTheme="majorHAnsi"/>
          <w:i/>
          <w:sz w:val="22"/>
          <w:szCs w:val="22"/>
        </w:rPr>
        <w:t>in vitro</w:t>
      </w:r>
      <w:r>
        <w:rPr>
          <w:rFonts w:asciiTheme="majorHAnsi" w:hAnsiTheme="majorHAnsi"/>
          <w:sz w:val="22"/>
          <w:szCs w:val="22"/>
        </w:rPr>
        <w:t xml:space="preserve"> i principali aspetti istologici di tumori umani;</w:t>
      </w:r>
    </w:p>
    <w:p w:rsidR="002C1907" w:rsidRDefault="002C1907" w:rsidP="002C1907">
      <w:pPr>
        <w:pStyle w:val="Paragrafoelenco"/>
        <w:numPr>
          <w:ilvl w:val="0"/>
          <w:numId w:val="16"/>
        </w:numPr>
        <w:spacing w:line="360" w:lineRule="auto"/>
        <w:contextualSpacing/>
        <w:rPr>
          <w:rFonts w:asciiTheme="majorHAnsi" w:hAnsiTheme="majorHAnsi"/>
          <w:sz w:val="22"/>
          <w:szCs w:val="22"/>
        </w:rPr>
      </w:pPr>
      <w:r>
        <w:rPr>
          <w:rFonts w:asciiTheme="majorHAnsi" w:hAnsiTheme="majorHAnsi"/>
          <w:sz w:val="22"/>
          <w:szCs w:val="22"/>
        </w:rPr>
        <w:t xml:space="preserve">Acquisizione e conservazione di materiale biologico umano a scopo di Ricerca Scientifica nell’ambito della </w:t>
      </w:r>
      <w:proofErr w:type="spellStart"/>
      <w:r>
        <w:rPr>
          <w:rFonts w:asciiTheme="majorHAnsi" w:hAnsiTheme="majorHAnsi"/>
          <w:sz w:val="22"/>
          <w:szCs w:val="22"/>
        </w:rPr>
        <w:t>Biobanca</w:t>
      </w:r>
      <w:proofErr w:type="spellEnd"/>
      <w:r>
        <w:rPr>
          <w:rFonts w:asciiTheme="majorHAnsi" w:hAnsiTheme="majorHAnsi"/>
          <w:sz w:val="22"/>
          <w:szCs w:val="22"/>
        </w:rPr>
        <w:t xml:space="preserve"> dei Tessuti e Liquidi Biologici IFO sotto la supervisione del personale dell’Anatomia Patologica e dalla Patologia Clinica;</w:t>
      </w:r>
    </w:p>
    <w:p w:rsidR="002C1907" w:rsidRDefault="002C1907" w:rsidP="002C1907">
      <w:pPr>
        <w:pStyle w:val="Paragrafoelenco"/>
        <w:numPr>
          <w:ilvl w:val="0"/>
          <w:numId w:val="16"/>
        </w:numPr>
        <w:spacing w:line="360" w:lineRule="auto"/>
        <w:contextualSpacing/>
        <w:rPr>
          <w:rFonts w:asciiTheme="majorHAnsi" w:hAnsiTheme="majorHAnsi"/>
          <w:sz w:val="22"/>
          <w:szCs w:val="22"/>
        </w:rPr>
      </w:pPr>
      <w:r>
        <w:rPr>
          <w:rFonts w:asciiTheme="majorHAnsi" w:hAnsiTheme="majorHAnsi" w:cs="Arial"/>
          <w:sz w:val="22"/>
          <w:szCs w:val="22"/>
        </w:rPr>
        <w:t>Estrazione ed analisi di acidi nucleici da campioni di tessuti;</w:t>
      </w:r>
    </w:p>
    <w:p w:rsidR="003F094A" w:rsidRPr="009307A7" w:rsidRDefault="002E44E2" w:rsidP="000C42A9">
      <w:pPr>
        <w:spacing w:line="360" w:lineRule="auto"/>
        <w:jc w:val="both"/>
      </w:pPr>
      <w:r w:rsidRPr="009307A7">
        <w:rPr>
          <w:b/>
        </w:rPr>
        <w:t>Compenso Lordo</w:t>
      </w:r>
      <w:r w:rsidR="00A677C0" w:rsidRPr="009307A7">
        <w:rPr>
          <w:b/>
        </w:rPr>
        <w:t xml:space="preserve">: </w:t>
      </w:r>
      <w:r w:rsidR="00A677C0" w:rsidRPr="009307A7">
        <w:t xml:space="preserve">€ </w:t>
      </w:r>
      <w:r w:rsidR="002C1907" w:rsidRPr="009307A7">
        <w:t>18</w:t>
      </w:r>
      <w:r w:rsidR="003F094A" w:rsidRPr="009307A7">
        <w:t>.</w:t>
      </w:r>
      <w:r w:rsidRPr="009307A7">
        <w:t>000</w:t>
      </w:r>
      <w:r w:rsidR="003F094A" w:rsidRPr="009307A7">
        <w:t>,</w:t>
      </w:r>
      <w:r w:rsidRPr="009307A7">
        <w:t>0</w:t>
      </w:r>
      <w:r w:rsidR="003F094A" w:rsidRPr="009307A7">
        <w:t>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2C1907" w:rsidRPr="009307A7" w:rsidRDefault="002C1907" w:rsidP="002C1907">
      <w:pPr>
        <w:pStyle w:val="Paragrafoelenco"/>
        <w:numPr>
          <w:ilvl w:val="0"/>
          <w:numId w:val="16"/>
        </w:numPr>
        <w:spacing w:line="360" w:lineRule="auto"/>
        <w:jc w:val="both"/>
        <w:rPr>
          <w:rFonts w:asciiTheme="majorHAnsi" w:hAnsiTheme="majorHAnsi"/>
          <w:sz w:val="22"/>
          <w:szCs w:val="22"/>
        </w:rPr>
      </w:pPr>
      <w:r w:rsidRPr="009307A7">
        <w:rPr>
          <w:rFonts w:asciiTheme="majorHAnsi" w:hAnsiTheme="majorHAnsi"/>
          <w:sz w:val="22"/>
          <w:szCs w:val="22"/>
        </w:rPr>
        <w:t>Laurea in Tecniche di Laboratorio Biomedico</w:t>
      </w:r>
    </w:p>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2C1907" w:rsidRDefault="002C1907" w:rsidP="008C0F87">
      <w:pPr>
        <w:pStyle w:val="Paragrafoelenco"/>
        <w:numPr>
          <w:ilvl w:val="0"/>
          <w:numId w:val="16"/>
        </w:numPr>
        <w:spacing w:line="360" w:lineRule="auto"/>
        <w:contextualSpacing/>
        <w:rPr>
          <w:rFonts w:asciiTheme="majorHAnsi" w:hAnsiTheme="majorHAnsi" w:cs="Arial"/>
          <w:sz w:val="22"/>
          <w:szCs w:val="22"/>
        </w:rPr>
      </w:pPr>
      <w:r>
        <w:rPr>
          <w:rFonts w:asciiTheme="majorHAnsi" w:hAnsiTheme="majorHAnsi" w:cs="Arial"/>
          <w:sz w:val="22"/>
          <w:szCs w:val="22"/>
        </w:rPr>
        <w:t>Esperienza pluriennale presso laboratori di istopatologia in strutture pubbliche e private</w:t>
      </w:r>
    </w:p>
    <w:p w:rsidR="002C1907" w:rsidRDefault="002C1907" w:rsidP="008C0F87">
      <w:pPr>
        <w:pStyle w:val="Paragrafoelenco"/>
        <w:numPr>
          <w:ilvl w:val="0"/>
          <w:numId w:val="16"/>
        </w:numPr>
        <w:spacing w:line="360" w:lineRule="auto"/>
        <w:contextualSpacing/>
        <w:rPr>
          <w:rFonts w:asciiTheme="majorHAnsi" w:hAnsiTheme="majorHAnsi" w:cs="Arial"/>
          <w:sz w:val="22"/>
          <w:szCs w:val="22"/>
        </w:rPr>
      </w:pPr>
      <w:r>
        <w:rPr>
          <w:rFonts w:asciiTheme="majorHAnsi" w:hAnsiTheme="majorHAnsi" w:cs="Arial"/>
          <w:sz w:val="22"/>
          <w:szCs w:val="22"/>
        </w:rPr>
        <w:t xml:space="preserve">Esperienza nelle metodiche di </w:t>
      </w:r>
      <w:proofErr w:type="spellStart"/>
      <w:r>
        <w:rPr>
          <w:rFonts w:asciiTheme="majorHAnsi" w:hAnsiTheme="majorHAnsi" w:cs="Arial"/>
          <w:sz w:val="22"/>
          <w:szCs w:val="22"/>
        </w:rPr>
        <w:t>processamento</w:t>
      </w:r>
      <w:proofErr w:type="spellEnd"/>
      <w:r>
        <w:rPr>
          <w:rFonts w:asciiTheme="majorHAnsi" w:hAnsiTheme="majorHAnsi" w:cs="Arial"/>
          <w:sz w:val="22"/>
          <w:szCs w:val="22"/>
        </w:rPr>
        <w:t xml:space="preserve"> ed inclusione di campioni istologici</w:t>
      </w:r>
    </w:p>
    <w:p w:rsidR="002C1907" w:rsidRDefault="002C1907" w:rsidP="008C0F87">
      <w:pPr>
        <w:pStyle w:val="Paragrafoelenco"/>
        <w:numPr>
          <w:ilvl w:val="0"/>
          <w:numId w:val="16"/>
        </w:numPr>
        <w:spacing w:line="360" w:lineRule="auto"/>
        <w:contextualSpacing/>
        <w:rPr>
          <w:rFonts w:asciiTheme="majorHAnsi" w:hAnsiTheme="majorHAnsi" w:cs="Arial"/>
          <w:sz w:val="22"/>
          <w:szCs w:val="22"/>
        </w:rPr>
      </w:pPr>
      <w:r>
        <w:rPr>
          <w:rFonts w:asciiTheme="majorHAnsi" w:hAnsiTheme="majorHAnsi" w:cs="Arial"/>
          <w:sz w:val="22"/>
          <w:szCs w:val="22"/>
        </w:rPr>
        <w:lastRenderedPageBreak/>
        <w:t>Tecniche istochimica ed immunoistochimica</w:t>
      </w:r>
    </w:p>
    <w:p w:rsidR="002C1907" w:rsidRDefault="002C1907" w:rsidP="008C0F87">
      <w:pPr>
        <w:pStyle w:val="Eaoaeaa"/>
        <w:widowControl/>
        <w:numPr>
          <w:ilvl w:val="0"/>
          <w:numId w:val="16"/>
        </w:numPr>
        <w:spacing w:before="20" w:after="20" w:line="360" w:lineRule="auto"/>
        <w:ind w:right="880"/>
        <w:rPr>
          <w:rFonts w:asciiTheme="majorHAnsi" w:hAnsiTheme="majorHAnsi" w:cs="Arial"/>
          <w:sz w:val="22"/>
          <w:szCs w:val="22"/>
        </w:rPr>
      </w:pPr>
      <w:r>
        <w:rPr>
          <w:rFonts w:asciiTheme="majorHAnsi" w:hAnsiTheme="majorHAnsi" w:cs="Arial"/>
          <w:sz w:val="22"/>
          <w:szCs w:val="22"/>
        </w:rPr>
        <w:t>Tecniche di citometria a flusso per l’analisi di marcatori linfocitari</w:t>
      </w:r>
    </w:p>
    <w:p w:rsidR="002C1907" w:rsidRDefault="002C1907" w:rsidP="008C0F87">
      <w:pPr>
        <w:pStyle w:val="Eaoaeaa"/>
        <w:widowControl/>
        <w:numPr>
          <w:ilvl w:val="0"/>
          <w:numId w:val="16"/>
        </w:numPr>
        <w:spacing w:before="20" w:after="20" w:line="360" w:lineRule="auto"/>
        <w:ind w:right="880"/>
        <w:rPr>
          <w:rFonts w:asciiTheme="majorHAnsi" w:hAnsiTheme="majorHAnsi" w:cs="Arial"/>
          <w:sz w:val="22"/>
          <w:szCs w:val="22"/>
        </w:rPr>
      </w:pPr>
      <w:r>
        <w:rPr>
          <w:rFonts w:asciiTheme="majorHAnsi" w:hAnsiTheme="majorHAnsi" w:cs="Arial"/>
          <w:sz w:val="22"/>
          <w:szCs w:val="22"/>
        </w:rPr>
        <w:t>Esperienza nella acquisizione digitale di preparati istologici/citologici/immunoistochimici mediante piattaforme di “digital pathology”</w:t>
      </w:r>
    </w:p>
    <w:p w:rsidR="002C1907" w:rsidRDefault="002C1907" w:rsidP="008C0F87">
      <w:pPr>
        <w:pStyle w:val="Eaoaeaa"/>
        <w:widowControl/>
        <w:numPr>
          <w:ilvl w:val="0"/>
          <w:numId w:val="16"/>
        </w:numPr>
        <w:spacing w:before="20" w:after="20" w:line="360" w:lineRule="auto"/>
        <w:ind w:right="880"/>
        <w:rPr>
          <w:rFonts w:asciiTheme="majorHAnsi" w:hAnsiTheme="majorHAnsi" w:cs="Arial"/>
          <w:sz w:val="22"/>
          <w:szCs w:val="22"/>
        </w:rPr>
      </w:pPr>
      <w:r>
        <w:rPr>
          <w:rFonts w:asciiTheme="majorHAnsi" w:hAnsiTheme="majorHAnsi" w:cs="Arial"/>
          <w:sz w:val="22"/>
          <w:szCs w:val="22"/>
        </w:rPr>
        <w:t>Tecniche di estrazione di acidi nucleici</w:t>
      </w:r>
    </w:p>
    <w:p w:rsidR="005D27D5" w:rsidRDefault="005D27D5" w:rsidP="0058737A">
      <w:pPr>
        <w:spacing w:line="360" w:lineRule="auto"/>
        <w:jc w:val="center"/>
        <w:rPr>
          <w:b/>
          <w:sz w:val="22"/>
          <w:szCs w:val="22"/>
        </w:rPr>
      </w:pP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9307A7">
      <w:pPr>
        <w:spacing w:before="120"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9307A7">
        <w:rPr>
          <w:rFonts w:asciiTheme="majorHAnsi" w:hAnsiTheme="majorHAnsi"/>
          <w:sz w:val="22"/>
          <w:szCs w:val="22"/>
        </w:rPr>
        <w:t xml:space="preserve">la UOSD Immunologia e Immunoterapia dei Tumori sotto la supervisione della Dr.ssa Paola </w:t>
      </w:r>
      <w:proofErr w:type="spellStart"/>
      <w:r w:rsidR="009307A7">
        <w:rPr>
          <w:rFonts w:asciiTheme="majorHAnsi" w:hAnsiTheme="majorHAnsi"/>
          <w:sz w:val="22"/>
          <w:szCs w:val="22"/>
        </w:rPr>
        <w:t>Nistico’</w:t>
      </w:r>
      <w:proofErr w:type="spellEnd"/>
      <w:r w:rsidR="009307A7">
        <w:rPr>
          <w:rFonts w:asciiTheme="majorHAnsi" w:hAnsiTheme="majorHAnsi"/>
          <w:sz w:val="22"/>
          <w:szCs w:val="22"/>
        </w:rPr>
        <w:t xml:space="preserve"> </w:t>
      </w:r>
      <w:proofErr w:type="gramStart"/>
      <w:r w:rsidR="009307A7">
        <w:rPr>
          <w:rFonts w:asciiTheme="majorHAnsi" w:hAnsiTheme="majorHAnsi"/>
          <w:sz w:val="22"/>
          <w:szCs w:val="22"/>
        </w:rPr>
        <w:t>e  l’Unità</w:t>
      </w:r>
      <w:proofErr w:type="gramEnd"/>
      <w:r w:rsidR="009307A7">
        <w:rPr>
          <w:rFonts w:asciiTheme="majorHAnsi" w:hAnsiTheme="majorHAnsi"/>
          <w:sz w:val="22"/>
          <w:szCs w:val="22"/>
        </w:rPr>
        <w:t xml:space="preserve"> di Anatomia Patologica Responsabile Prof. Edoardo </w:t>
      </w:r>
      <w:proofErr w:type="spellStart"/>
      <w:r w:rsidR="009307A7">
        <w:rPr>
          <w:rFonts w:asciiTheme="majorHAnsi" w:hAnsiTheme="majorHAnsi"/>
          <w:sz w:val="22"/>
          <w:szCs w:val="22"/>
        </w:rPr>
        <w:t>Pescarmona</w:t>
      </w:r>
      <w:proofErr w:type="spellEnd"/>
      <w:r w:rsidR="009307A7">
        <w:rPr>
          <w:rFonts w:asciiTheme="majorHAnsi" w:hAnsiTheme="majorHAnsi"/>
          <w:sz w:val="22"/>
          <w:szCs w:val="22"/>
        </w:rPr>
        <w:t xml:space="preserve">, </w:t>
      </w:r>
      <w:r w:rsidR="00545036">
        <w:t>per</w:t>
      </w:r>
      <w:r w:rsidRPr="000A01FD">
        <w:t xml:space="preserve"> tut</w:t>
      </w:r>
      <w:r w:rsidR="004C593F" w:rsidRPr="000A01FD">
        <w:t>ta la durata del godimento della borsa medesima</w:t>
      </w:r>
      <w:r w:rsidRPr="000A01FD">
        <w:t xml:space="preserve">. </w:t>
      </w:r>
    </w:p>
    <w:p w:rsidR="009307A7" w:rsidRPr="009307A7" w:rsidRDefault="009307A7" w:rsidP="009307A7">
      <w:pPr>
        <w:spacing w:before="120" w:line="360" w:lineRule="auto"/>
        <w:jc w:val="both"/>
        <w:rPr>
          <w:rFonts w:asciiTheme="majorHAnsi" w:hAnsiTheme="majorHAnsi"/>
          <w:sz w:val="22"/>
          <w:szCs w:val="22"/>
        </w:rPr>
      </w:pP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lastRenderedPageBreak/>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 xml:space="preserve">Al colloquio i candidati dovranno presentarsi muniti di documento d’identità in corso di validità. I </w:t>
      </w:r>
      <w:r w:rsidRPr="00313D9D">
        <w:lastRenderedPageBreak/>
        <w:t>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lastRenderedPageBreak/>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lastRenderedPageBreak/>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lastRenderedPageBreak/>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A5D6F"/>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9A08"/>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3EC6F-E55C-4BDF-8FFA-07BA6995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2108</Words>
  <Characters>12022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45</cp:revision>
  <cp:lastPrinted>2020-03-02T10:05:00Z</cp:lastPrinted>
  <dcterms:created xsi:type="dcterms:W3CDTF">2018-01-08T11:49:00Z</dcterms:created>
  <dcterms:modified xsi:type="dcterms:W3CDTF">2020-03-02T10:14:00Z</dcterms:modified>
</cp:coreProperties>
</file>