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4" w:rsidRPr="00007D4E" w:rsidRDefault="002C5AE4" w:rsidP="002C5AE4">
      <w:pPr>
        <w:pStyle w:val="Titolo1"/>
        <w:spacing w:before="161"/>
        <w:rPr>
          <w:rFonts w:ascii="Helvetica" w:hAnsi="Helvetica" w:cs="Helvetica"/>
          <w:b/>
          <w:color w:val="1C2024"/>
        </w:rPr>
      </w:pPr>
      <w:r w:rsidRPr="00007D4E">
        <w:rPr>
          <w:rFonts w:ascii="Helvetica" w:hAnsi="Helvetica" w:cs="Helvetica"/>
          <w:b/>
          <w:color w:val="1C2024"/>
        </w:rPr>
        <w:t xml:space="preserve">Concorso pubblico straordinario, per titoli ed esami, a n. 6 posti di Dirigente Medico disciplina di oncologia, con la riserva a favore dei soggetti in possesso dei requisiti di cui all’art. 1, comma 543, della Legge n. 208 del 28 dicembre 2015 e </w:t>
      </w:r>
      <w:proofErr w:type="spellStart"/>
      <w:r w:rsidRPr="00007D4E">
        <w:rPr>
          <w:rFonts w:ascii="Helvetica" w:hAnsi="Helvetica" w:cs="Helvetica"/>
          <w:b/>
          <w:color w:val="1C2024"/>
        </w:rPr>
        <w:t>s.m.i.</w:t>
      </w:r>
      <w:proofErr w:type="spellEnd"/>
    </w:p>
    <w:p w:rsidR="0047730B" w:rsidRDefault="0047730B" w:rsidP="0070702B">
      <w:pPr>
        <w:jc w:val="both"/>
        <w:rPr>
          <w:b/>
        </w:rPr>
      </w:pPr>
    </w:p>
    <w:p w:rsidR="0047730B" w:rsidRDefault="0047730B" w:rsidP="0070702B">
      <w:pPr>
        <w:jc w:val="both"/>
        <w:rPr>
          <w:b/>
        </w:rPr>
      </w:pPr>
    </w:p>
    <w:p w:rsidR="0070702B" w:rsidRPr="003F1655" w:rsidRDefault="0070702B" w:rsidP="0070702B">
      <w:pPr>
        <w:jc w:val="both"/>
        <w:rPr>
          <w:b/>
        </w:rPr>
      </w:pPr>
      <w:r w:rsidRPr="003F1655">
        <w:rPr>
          <w:b/>
        </w:rPr>
        <w:t xml:space="preserve">CRITERI </w:t>
      </w:r>
      <w:proofErr w:type="spellStart"/>
      <w:r w:rsidRPr="003F1655">
        <w:rPr>
          <w:b/>
        </w:rPr>
        <w:t>DI</w:t>
      </w:r>
      <w:proofErr w:type="spellEnd"/>
      <w:r w:rsidRPr="003F1655">
        <w:rPr>
          <w:b/>
        </w:rPr>
        <w:t xml:space="preserve"> VALUTAZIONE E TRACCE PROVA SCRITTA </w:t>
      </w:r>
    </w:p>
    <w:p w:rsidR="0070702B" w:rsidRDefault="0070702B" w:rsidP="0070702B">
      <w:pPr>
        <w:jc w:val="both"/>
      </w:pPr>
    </w:p>
    <w:p w:rsidR="0070702B" w:rsidRDefault="0070702B" w:rsidP="0070702B">
      <w:pPr>
        <w:jc w:val="both"/>
      </w:pPr>
      <w:r>
        <w:t>(</w:t>
      </w:r>
      <w:r w:rsidRPr="003F1655">
        <w:rPr>
          <w:i/>
        </w:rPr>
        <w:t xml:space="preserve">estratto verbale del </w:t>
      </w:r>
      <w:r w:rsidR="002C5AE4" w:rsidRPr="003F5F2D">
        <w:rPr>
          <w:b/>
          <w:i/>
        </w:rPr>
        <w:t>4</w:t>
      </w:r>
      <w:r w:rsidRPr="003F5F2D">
        <w:rPr>
          <w:b/>
          <w:i/>
        </w:rPr>
        <w:t>/12/20</w:t>
      </w:r>
      <w:r w:rsidR="002C5AE4" w:rsidRPr="003F5F2D">
        <w:rPr>
          <w:b/>
          <w:i/>
        </w:rPr>
        <w:t>19</w:t>
      </w:r>
      <w:r w:rsidRPr="003F1655">
        <w:rPr>
          <w:i/>
        </w:rPr>
        <w:t xml:space="preserve"> della Commissione Esaminatrice)</w:t>
      </w:r>
    </w:p>
    <w:p w:rsidR="0070702B" w:rsidRDefault="0070702B" w:rsidP="0070702B">
      <w:pPr>
        <w:jc w:val="both"/>
      </w:pPr>
      <w:proofErr w:type="spellStart"/>
      <w:r>
        <w:t>………</w:t>
      </w:r>
      <w:proofErr w:type="spellEnd"/>
      <w:r>
        <w:t>..</w:t>
      </w:r>
    </w:p>
    <w:p w:rsidR="0070702B" w:rsidRDefault="0070702B" w:rsidP="0070702B">
      <w:pPr>
        <w:jc w:val="both"/>
      </w:pPr>
      <w:proofErr w:type="spellStart"/>
      <w:r>
        <w:t>………</w:t>
      </w:r>
      <w:proofErr w:type="spellEnd"/>
      <w:r>
        <w:t>..</w:t>
      </w:r>
    </w:p>
    <w:p w:rsidR="002C5AE4" w:rsidRDefault="002C5AE4" w:rsidP="002C5AE4">
      <w:pPr>
        <w:jc w:val="both"/>
      </w:pPr>
      <w:r>
        <w:t>La Commissione, inoltre, prende atto che, a termine dell’art. 9 del bando, ai sensi dell’art. 27 del DPR n. 483/1997 per la valutazione dei candidati dispone di 100 punti così suddivisi:</w:t>
      </w:r>
    </w:p>
    <w:p w:rsidR="002C5AE4" w:rsidRDefault="002C5AE4" w:rsidP="002C5AE4">
      <w:pPr>
        <w:numPr>
          <w:ilvl w:val="0"/>
          <w:numId w:val="1"/>
        </w:numPr>
        <w:jc w:val="both"/>
      </w:pPr>
      <w:r>
        <w:t>80 punti per le prove di esame</w:t>
      </w:r>
    </w:p>
    <w:p w:rsidR="002C5AE4" w:rsidRDefault="002C5AE4" w:rsidP="002C5AE4">
      <w:pPr>
        <w:numPr>
          <w:ilvl w:val="0"/>
          <w:numId w:val="1"/>
        </w:numPr>
        <w:jc w:val="both"/>
      </w:pPr>
      <w:r>
        <w:t xml:space="preserve">20 punti per i titoli </w:t>
      </w:r>
    </w:p>
    <w:p w:rsidR="002C5AE4" w:rsidRDefault="002C5AE4" w:rsidP="002C5AE4">
      <w:pPr>
        <w:pStyle w:val="Paragrafoelenco"/>
        <w:jc w:val="both"/>
      </w:pPr>
    </w:p>
    <w:p w:rsidR="002C5AE4" w:rsidRDefault="002C5AE4" w:rsidP="002C5AE4">
      <w:pPr>
        <w:jc w:val="both"/>
      </w:pPr>
      <w:r>
        <w:t>Gli 80 punti per la valutazione delle prove di esame sono così ripartiti</w:t>
      </w:r>
    </w:p>
    <w:p w:rsidR="002C5AE4" w:rsidRDefault="002C5AE4" w:rsidP="002C5AE4">
      <w:pPr>
        <w:numPr>
          <w:ilvl w:val="0"/>
          <w:numId w:val="2"/>
        </w:numPr>
        <w:jc w:val="both"/>
      </w:pPr>
      <w:r>
        <w:t>30 punti per la prova scritta</w:t>
      </w:r>
    </w:p>
    <w:p w:rsidR="002C5AE4" w:rsidRDefault="002C5AE4" w:rsidP="002C5AE4">
      <w:pPr>
        <w:numPr>
          <w:ilvl w:val="0"/>
          <w:numId w:val="2"/>
        </w:numPr>
        <w:jc w:val="both"/>
      </w:pPr>
      <w:r>
        <w:t>30 punti per la prova pratica</w:t>
      </w:r>
    </w:p>
    <w:p w:rsidR="002C5AE4" w:rsidRDefault="002C5AE4" w:rsidP="002C5AE4">
      <w:pPr>
        <w:numPr>
          <w:ilvl w:val="0"/>
          <w:numId w:val="2"/>
        </w:numPr>
        <w:jc w:val="both"/>
      </w:pPr>
      <w:r>
        <w:t>20 punti per la prova orale.</w:t>
      </w:r>
    </w:p>
    <w:p w:rsidR="002C5AE4" w:rsidRDefault="002C5AE4" w:rsidP="002C5AE4">
      <w:pPr>
        <w:ind w:left="720"/>
        <w:jc w:val="both"/>
      </w:pPr>
    </w:p>
    <w:p w:rsidR="002C5AE4" w:rsidRDefault="002C5AE4" w:rsidP="002C5AE4">
      <w:pPr>
        <w:jc w:val="both"/>
      </w:pPr>
      <w:r>
        <w:t>I punti per la valutazione dei titoli sono così ripartiti:</w:t>
      </w:r>
    </w:p>
    <w:p w:rsidR="002C5AE4" w:rsidRDefault="002C5AE4" w:rsidP="002C5AE4">
      <w:pPr>
        <w:jc w:val="both"/>
      </w:pPr>
      <w:r>
        <w:t>titoli di carriera: punti 10</w:t>
      </w:r>
    </w:p>
    <w:p w:rsidR="002C5AE4" w:rsidRDefault="002C5AE4" w:rsidP="002C5AE4">
      <w:pPr>
        <w:jc w:val="both"/>
      </w:pPr>
      <w:r>
        <w:t>titoli accademici e di studio: punti 3</w:t>
      </w:r>
    </w:p>
    <w:p w:rsidR="002C5AE4" w:rsidRDefault="002C5AE4" w:rsidP="002C5AE4">
      <w:pPr>
        <w:jc w:val="both"/>
      </w:pPr>
      <w:r>
        <w:t>pubblicazioni e titoli scientifici: punti 3</w:t>
      </w:r>
    </w:p>
    <w:p w:rsidR="002C5AE4" w:rsidRDefault="002C5AE4" w:rsidP="002C5AE4">
      <w:pPr>
        <w:jc w:val="both"/>
      </w:pPr>
      <w:r>
        <w:t xml:space="preserve">curriculum formativo e professionale: punti 4 </w:t>
      </w:r>
    </w:p>
    <w:p w:rsidR="002C5AE4" w:rsidRDefault="002C5AE4" w:rsidP="002C5AE4">
      <w:pPr>
        <w:jc w:val="both"/>
      </w:pPr>
      <w:r>
        <w:t>Per i soggetti che intendono godere della riserva dei posti, ex art. 1 comma 543, il punteggio per l’attività svolta presso l’azienda che si indica come sede di destinazione preferita è valutato con punti 1,80 per anno il tempo determinato e con punti 1,20 per anno il contratto di collaborazione.</w:t>
      </w:r>
    </w:p>
    <w:p w:rsidR="002C5AE4" w:rsidRDefault="002C5AE4" w:rsidP="002C5AE4">
      <w:pPr>
        <w:jc w:val="both"/>
      </w:pPr>
    </w:p>
    <w:p w:rsidR="002C5AE4" w:rsidRPr="006131E2" w:rsidRDefault="002C5AE4" w:rsidP="002C5AE4">
      <w:pPr>
        <w:widowControl w:val="0"/>
        <w:jc w:val="both"/>
      </w:pPr>
      <w:r>
        <w:t>Come da art. 9 del bando di concorso g</w:t>
      </w:r>
      <w:r w:rsidRPr="006131E2">
        <w:t>li esami si sv</w:t>
      </w:r>
      <w:r>
        <w:t xml:space="preserve">olgeranno a norma </w:t>
      </w:r>
      <w:r w:rsidRPr="006131E2">
        <w:t>del D.P.R. 483/1997</w:t>
      </w:r>
      <w:r>
        <w:t xml:space="preserve">.  Le prove di esame </w:t>
      </w:r>
      <w:r w:rsidRPr="006131E2">
        <w:t>consisteranno:</w:t>
      </w:r>
    </w:p>
    <w:p w:rsidR="002C5AE4" w:rsidRDefault="002C5AE4" w:rsidP="002C5AE4">
      <w:pPr>
        <w:pStyle w:val="Rientrocorpodeltesto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017A">
        <w:rPr>
          <w:rFonts w:ascii="Times New Roman" w:hAnsi="Times New Roman"/>
          <w:sz w:val="24"/>
          <w:szCs w:val="24"/>
        </w:rPr>
        <w:t>PROVA SCRITTA:</w:t>
      </w:r>
      <w:r w:rsidRPr="0090017A">
        <w:rPr>
          <w:rFonts w:ascii="Times New Roman" w:hAnsi="Times New Roman"/>
          <w:b/>
          <w:sz w:val="24"/>
          <w:szCs w:val="24"/>
        </w:rPr>
        <w:t xml:space="preserve"> </w:t>
      </w:r>
      <w:r w:rsidRPr="0090017A">
        <w:rPr>
          <w:rFonts w:ascii="Times New Roman" w:hAnsi="Times New Roman"/>
          <w:sz w:val="24"/>
          <w:szCs w:val="24"/>
        </w:rPr>
        <w:t xml:space="preserve">relazione su </w:t>
      </w:r>
      <w:r>
        <w:rPr>
          <w:rFonts w:ascii="Times New Roman" w:hAnsi="Times New Roman"/>
          <w:sz w:val="24"/>
          <w:szCs w:val="24"/>
        </w:rPr>
        <w:t>caso clinico simulato o su argomenti inerenti alla disciplina messa a concorso o soluzione di una serie di quesiti a  risposta sintetica inerenti alla disciplina stessa;</w:t>
      </w:r>
    </w:p>
    <w:p w:rsidR="002C5AE4" w:rsidRPr="0090017A" w:rsidRDefault="002C5AE4" w:rsidP="002C5AE4">
      <w:pPr>
        <w:pStyle w:val="Rientrocorpodeltesto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017A">
        <w:rPr>
          <w:rFonts w:ascii="Times New Roman" w:hAnsi="Times New Roman"/>
          <w:sz w:val="24"/>
          <w:szCs w:val="24"/>
        </w:rPr>
        <w:t xml:space="preserve">PROVA PRATICA: </w:t>
      </w:r>
      <w:r>
        <w:rPr>
          <w:rFonts w:ascii="Times New Roman" w:hAnsi="Times New Roman"/>
          <w:sz w:val="24"/>
          <w:szCs w:val="24"/>
        </w:rPr>
        <w:t>su tecniche e manualità peculiari della disciplina messa a concorso; la prova pratica deve essere comunque illustrata schematicamente per iscritto</w:t>
      </w:r>
      <w:r w:rsidRPr="0090017A">
        <w:rPr>
          <w:rFonts w:ascii="Times New Roman" w:hAnsi="Times New Roman"/>
          <w:sz w:val="24"/>
          <w:szCs w:val="24"/>
        </w:rPr>
        <w:t>;</w:t>
      </w:r>
    </w:p>
    <w:p w:rsidR="002C5AE4" w:rsidRPr="002A0D17" w:rsidRDefault="002C5AE4" w:rsidP="002C5AE4">
      <w:pPr>
        <w:pStyle w:val="Rientrocorpodeltesto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017A">
        <w:rPr>
          <w:rFonts w:ascii="Times New Roman" w:hAnsi="Times New Roman"/>
          <w:sz w:val="24"/>
          <w:szCs w:val="24"/>
        </w:rPr>
        <w:t xml:space="preserve">PROVA ORALE: </w:t>
      </w:r>
      <w:r>
        <w:rPr>
          <w:rFonts w:ascii="Times New Roman" w:hAnsi="Times New Roman"/>
          <w:sz w:val="24"/>
          <w:szCs w:val="24"/>
        </w:rPr>
        <w:t xml:space="preserve">sulle materie inerenti alla disciplina a concorso nonché sui compiti connessi alla </w:t>
      </w:r>
      <w:r w:rsidRPr="002A0D17">
        <w:rPr>
          <w:rFonts w:ascii="Times New Roman" w:hAnsi="Times New Roman"/>
          <w:sz w:val="24"/>
          <w:szCs w:val="24"/>
        </w:rPr>
        <w:t>funzione da conferire.</w:t>
      </w:r>
    </w:p>
    <w:p w:rsidR="002C5AE4" w:rsidRPr="00160ABB" w:rsidRDefault="002C5AE4" w:rsidP="002C5AE4">
      <w:pPr>
        <w:pStyle w:val="Rientrocorpodeltesto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1F26"/>
          <w:sz w:val="24"/>
          <w:szCs w:val="24"/>
        </w:rPr>
        <w:t>La durata delle singole prove e le modalità di svolgimento delle stesse sono stabilite dalla Commissione con l’osservanza delle norme e secondo le modalità di cui al DPR 483/1997.</w:t>
      </w:r>
    </w:p>
    <w:p w:rsidR="002C5AE4" w:rsidRPr="006131E2" w:rsidRDefault="002C5AE4" w:rsidP="002C5AE4">
      <w:pPr>
        <w:pStyle w:val="Rientrocorpodeltesto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0D17">
        <w:rPr>
          <w:rFonts w:ascii="Times New Roman" w:hAnsi="Times New Roman"/>
          <w:sz w:val="24"/>
          <w:szCs w:val="24"/>
        </w:rPr>
        <w:t xml:space="preserve">L’ammissione alla prova pratica è subordinata al raggiungimento di una valutazione di sufficienza </w:t>
      </w:r>
      <w:r w:rsidRPr="006131E2">
        <w:rPr>
          <w:rFonts w:ascii="Times New Roman" w:hAnsi="Times New Roman"/>
          <w:sz w:val="24"/>
          <w:szCs w:val="24"/>
        </w:rPr>
        <w:t>della prova scritta, espressa in termini numerici di almeno 21/30.</w:t>
      </w:r>
    </w:p>
    <w:p w:rsidR="002C5AE4" w:rsidRPr="006131E2" w:rsidRDefault="002C5AE4" w:rsidP="002C5AE4">
      <w:pPr>
        <w:pStyle w:val="Rientrocorpodeltesto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31E2">
        <w:rPr>
          <w:rFonts w:ascii="Times New Roman" w:hAnsi="Times New Roman"/>
          <w:sz w:val="24"/>
          <w:szCs w:val="24"/>
        </w:rPr>
        <w:t>L’ammissione alla prova orale è subordinata al raggiungimento di una valutazione di sufficienza della prova pratica, espressa in termini numerici di almeno 21/30.</w:t>
      </w:r>
    </w:p>
    <w:p w:rsidR="002C5AE4" w:rsidRPr="006131E2" w:rsidRDefault="002C5AE4" w:rsidP="002C5AE4">
      <w:pPr>
        <w:pStyle w:val="Rientrocorpodeltesto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31E2">
        <w:rPr>
          <w:rFonts w:ascii="Times New Roman" w:hAnsi="Times New Roman"/>
          <w:sz w:val="24"/>
          <w:szCs w:val="24"/>
        </w:rPr>
        <w:t>Il superamento della prova orale è subordinato al raggiungimento di una valutazione di sufficienza, espressa in termini numerici, di almeno 14/20</w:t>
      </w:r>
      <w:r w:rsidRPr="006131E2">
        <w:rPr>
          <w:rFonts w:ascii="Times New Roman" w:hAnsi="Times New Roman"/>
          <w:b/>
          <w:sz w:val="24"/>
          <w:szCs w:val="24"/>
        </w:rPr>
        <w:t>.</w:t>
      </w:r>
    </w:p>
    <w:p w:rsidR="002C5AE4" w:rsidRPr="00C81347" w:rsidRDefault="002C5AE4" w:rsidP="002C5AE4">
      <w:pPr>
        <w:jc w:val="both"/>
        <w:rPr>
          <w:lang/>
        </w:rPr>
      </w:pPr>
    </w:p>
    <w:p w:rsidR="002C5AE4" w:rsidRDefault="002C5AE4" w:rsidP="002C5AE4">
      <w:pPr>
        <w:jc w:val="both"/>
      </w:pPr>
      <w:r>
        <w:t>La Commissione stabilisce altresì per ciascuna categoria di titoli i seguenti criteri di valutazione:</w:t>
      </w:r>
    </w:p>
    <w:p w:rsidR="002C5AE4" w:rsidRDefault="002C5AE4" w:rsidP="002C5AE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543"/>
      </w:tblGrid>
      <w:tr w:rsidR="002C5AE4" w:rsidTr="0019459E">
        <w:tc>
          <w:tcPr>
            <w:tcW w:w="2235" w:type="dxa"/>
          </w:tcPr>
          <w:p w:rsidR="002C5AE4" w:rsidRDefault="002C5AE4" w:rsidP="0019459E">
            <w:pPr>
              <w:jc w:val="both"/>
            </w:pPr>
            <w:r>
              <w:t>Titoli di carriera</w:t>
            </w:r>
          </w:p>
          <w:p w:rsidR="002C5AE4" w:rsidRDefault="002C5AE4" w:rsidP="0019459E">
            <w:pPr>
              <w:jc w:val="both"/>
            </w:pPr>
            <w:r>
              <w:lastRenderedPageBreak/>
              <w:t xml:space="preserve">                                                      fino a punti </w:t>
            </w:r>
            <w:r w:rsidRPr="006A1061">
              <w:rPr>
                <w:b/>
              </w:rPr>
              <w:t>10</w:t>
            </w:r>
          </w:p>
        </w:tc>
        <w:tc>
          <w:tcPr>
            <w:tcW w:w="7543" w:type="dxa"/>
          </w:tcPr>
          <w:p w:rsidR="002C5AE4" w:rsidRPr="00157A17" w:rsidRDefault="002C5AE4" w:rsidP="0019459E">
            <w:pPr>
              <w:jc w:val="both"/>
            </w:pPr>
            <w:r>
              <w:lastRenderedPageBreak/>
              <w:t xml:space="preserve">- </w:t>
            </w:r>
            <w:r w:rsidRPr="00157A17">
              <w:t>Servizio nella disciplina o equipollente prestato p</w:t>
            </w:r>
            <w:r>
              <w:t xml:space="preserve">resso Enti o Aziende del </w:t>
            </w:r>
            <w:r>
              <w:lastRenderedPageBreak/>
              <w:t xml:space="preserve">SSN o </w:t>
            </w:r>
            <w:r w:rsidRPr="00157A17">
              <w:t>servizi equipollenti</w:t>
            </w:r>
            <w:r>
              <w:t>:</w:t>
            </w:r>
            <w:r w:rsidRPr="00157A17">
              <w:t xml:space="preserve"> </w:t>
            </w:r>
            <w:r>
              <w:t xml:space="preserve">punti </w:t>
            </w:r>
            <w:r w:rsidRPr="00157A17">
              <w:t>1,2 per anno –</w:t>
            </w:r>
            <w:r>
              <w:t xml:space="preserve"> punti </w:t>
            </w:r>
            <w:r w:rsidRPr="00157A17">
              <w:t xml:space="preserve">0,1 </w:t>
            </w:r>
            <w:r>
              <w:t xml:space="preserve">per </w:t>
            </w:r>
            <w:r w:rsidRPr="00157A17">
              <w:t>mese</w:t>
            </w:r>
          </w:p>
          <w:p w:rsidR="002C5AE4" w:rsidRDefault="002C5AE4" w:rsidP="0019459E">
            <w:pPr>
              <w:jc w:val="both"/>
            </w:pPr>
            <w:r>
              <w:rPr>
                <w:b/>
              </w:rPr>
              <w:t xml:space="preserve">- </w:t>
            </w:r>
            <w:r>
              <w:t>S</w:t>
            </w:r>
            <w:r w:rsidRPr="00157A17">
              <w:t>ervizio prestato in altra disciplina</w:t>
            </w:r>
            <w:r>
              <w:rPr>
                <w:b/>
              </w:rPr>
              <w:t xml:space="preserve"> </w:t>
            </w:r>
            <w:r>
              <w:t>presso Enti o Aziende del SSN o</w:t>
            </w:r>
            <w:r w:rsidRPr="00157A17">
              <w:t xml:space="preserve"> servizi equipollenti</w:t>
            </w:r>
            <w:r>
              <w:t>: punti</w:t>
            </w:r>
            <w:r w:rsidRPr="00157A17">
              <w:t xml:space="preserve"> </w:t>
            </w:r>
            <w:r>
              <w:t>0,6</w:t>
            </w:r>
            <w:r w:rsidRPr="00157A17">
              <w:t xml:space="preserve"> per anno – </w:t>
            </w:r>
            <w:r>
              <w:t xml:space="preserve">punti </w:t>
            </w:r>
            <w:r w:rsidRPr="00157A17">
              <w:t>0,</w:t>
            </w:r>
            <w:r>
              <w:t>05</w:t>
            </w:r>
            <w:r w:rsidRPr="00157A17">
              <w:t xml:space="preserve"> p</w:t>
            </w:r>
            <w:r>
              <w:t xml:space="preserve">er </w:t>
            </w:r>
            <w:r w:rsidRPr="00157A17">
              <w:t>mese</w:t>
            </w:r>
          </w:p>
          <w:p w:rsidR="002C5AE4" w:rsidRDefault="002C5AE4" w:rsidP="0019459E">
            <w:pPr>
              <w:jc w:val="both"/>
            </w:pPr>
            <w:r>
              <w:t>- Servizio prestato nella disciplina del concorso in case di cura convenzionate o accreditate: punti 0.3 per anno – 0.025 punti per mese</w:t>
            </w:r>
          </w:p>
          <w:p w:rsidR="002C5AE4" w:rsidRDefault="002C5AE4" w:rsidP="0019459E">
            <w:pPr>
              <w:jc w:val="both"/>
            </w:pPr>
            <w:r>
              <w:t>- Servizio prestato in altra disciplina in case di cura convenzionate o accreditate: punti 0.15 per anno – 0.012 punti per mese</w:t>
            </w:r>
          </w:p>
          <w:p w:rsidR="002C5AE4" w:rsidRDefault="002C5AE4" w:rsidP="0019459E">
            <w:pPr>
              <w:jc w:val="both"/>
            </w:pPr>
            <w:r>
              <w:t>- Servizio prestato specialistica ambulatoriale nella disciplina del concorso: 1.2 punti per anno – 0.1 punti per mese</w:t>
            </w:r>
          </w:p>
          <w:p w:rsidR="002C5AE4" w:rsidRDefault="002C5AE4" w:rsidP="0019459E">
            <w:pPr>
              <w:jc w:val="both"/>
            </w:pPr>
            <w:r>
              <w:t>- Servizio prestato specialistica ambulatoriale altra disciplina: punti 0.60 per anno – 0,05 punti per mese</w:t>
            </w:r>
          </w:p>
          <w:p w:rsidR="002C5AE4" w:rsidRDefault="002C5AE4" w:rsidP="0019459E">
            <w:pPr>
              <w:jc w:val="both"/>
            </w:pPr>
          </w:p>
          <w:p w:rsidR="002C5AE4" w:rsidRDefault="002C5AE4" w:rsidP="0019459E">
            <w:pPr>
              <w:jc w:val="both"/>
            </w:pPr>
            <w:r>
              <w:t>Punteggio per riservatari (art. 9 del bando di concorso):</w:t>
            </w:r>
          </w:p>
          <w:p w:rsidR="002C5AE4" w:rsidRDefault="002C5AE4" w:rsidP="002C5AE4">
            <w:pPr>
              <w:numPr>
                <w:ilvl w:val="0"/>
                <w:numId w:val="11"/>
              </w:numPr>
              <w:ind w:left="318"/>
              <w:jc w:val="both"/>
            </w:pPr>
            <w:r>
              <w:t>Attività svolta presso l’azienda che si indica come sede di destinazione preferita: 1.80 per anno il tempo determinato – 1.20 per anno il contratto di collaborazione</w:t>
            </w:r>
          </w:p>
        </w:tc>
      </w:tr>
      <w:tr w:rsidR="002C5AE4" w:rsidTr="0019459E">
        <w:tc>
          <w:tcPr>
            <w:tcW w:w="2235" w:type="dxa"/>
          </w:tcPr>
          <w:p w:rsidR="002C5AE4" w:rsidRDefault="002C5AE4" w:rsidP="0019459E">
            <w:pPr>
              <w:jc w:val="both"/>
            </w:pPr>
            <w:r>
              <w:lastRenderedPageBreak/>
              <w:t>Titoli accademici e di studio</w:t>
            </w:r>
          </w:p>
          <w:p w:rsidR="002C5AE4" w:rsidRDefault="002C5AE4" w:rsidP="0019459E">
            <w:pPr>
              <w:jc w:val="both"/>
            </w:pPr>
            <w:r>
              <w:t xml:space="preserve">                                                       fino a punti </w:t>
            </w:r>
            <w:r w:rsidRPr="00407F9D">
              <w:rPr>
                <w:b/>
              </w:rPr>
              <w:t>3</w:t>
            </w:r>
          </w:p>
        </w:tc>
        <w:tc>
          <w:tcPr>
            <w:tcW w:w="7543" w:type="dxa"/>
          </w:tcPr>
          <w:p w:rsidR="002C5AE4" w:rsidRDefault="002C5AE4" w:rsidP="0019459E">
            <w:pPr>
              <w:jc w:val="both"/>
            </w:pPr>
            <w:r>
              <w:t>- II specializzazione in altra disciplina: punti 0.25</w:t>
            </w:r>
          </w:p>
          <w:p w:rsidR="002C5AE4" w:rsidRDefault="002C5AE4" w:rsidP="0019459E">
            <w:pPr>
              <w:jc w:val="both"/>
            </w:pPr>
            <w:r>
              <w:t>- Master I livello punti 0.50 (intera durata)</w:t>
            </w:r>
          </w:p>
          <w:p w:rsidR="002C5AE4" w:rsidRDefault="002C5AE4" w:rsidP="0019459E">
            <w:pPr>
              <w:jc w:val="both"/>
            </w:pPr>
            <w:r>
              <w:t xml:space="preserve">- Master II livello e </w:t>
            </w:r>
            <w:proofErr w:type="spellStart"/>
            <w:r>
              <w:t>Fellowship</w:t>
            </w:r>
            <w:proofErr w:type="spellEnd"/>
            <w:r>
              <w:t>: punti 1 (intera durata)</w:t>
            </w:r>
          </w:p>
          <w:p w:rsidR="002C5AE4" w:rsidRDefault="002C5AE4" w:rsidP="0019459E">
            <w:pPr>
              <w:jc w:val="both"/>
            </w:pPr>
            <w:r>
              <w:t>- Dottorato di ricerca: punti 1</w:t>
            </w:r>
          </w:p>
          <w:p w:rsidR="002C5AE4" w:rsidRDefault="002C5AE4" w:rsidP="0019459E">
            <w:pPr>
              <w:jc w:val="both"/>
            </w:pPr>
            <w:r>
              <w:t>- Corso di formazione manageriale: punti 0,3</w:t>
            </w:r>
          </w:p>
        </w:tc>
      </w:tr>
      <w:tr w:rsidR="002C5AE4" w:rsidTr="0019459E">
        <w:tc>
          <w:tcPr>
            <w:tcW w:w="2235" w:type="dxa"/>
          </w:tcPr>
          <w:p w:rsidR="002C5AE4" w:rsidRDefault="002C5AE4" w:rsidP="0019459E">
            <w:pPr>
              <w:jc w:val="both"/>
            </w:pPr>
            <w:r>
              <w:t>Pubblicazioni e titoli scientifici</w:t>
            </w:r>
          </w:p>
          <w:p w:rsidR="002C5AE4" w:rsidRDefault="002C5AE4" w:rsidP="0019459E">
            <w:pPr>
              <w:jc w:val="both"/>
            </w:pPr>
            <w:r>
              <w:t xml:space="preserve">                                                       fino a punti </w:t>
            </w:r>
            <w:r w:rsidRPr="006A1061">
              <w:rPr>
                <w:b/>
              </w:rPr>
              <w:t>3</w:t>
            </w:r>
          </w:p>
        </w:tc>
        <w:tc>
          <w:tcPr>
            <w:tcW w:w="7543" w:type="dxa"/>
          </w:tcPr>
          <w:p w:rsidR="002C5AE4" w:rsidRDefault="002C5AE4" w:rsidP="0019459E">
            <w:pPr>
              <w:jc w:val="both"/>
            </w:pPr>
            <w:r>
              <w:t xml:space="preserve">Pubblicazioni recensite su </w:t>
            </w:r>
            <w:proofErr w:type="spellStart"/>
            <w:r>
              <w:t>Pub-med</w:t>
            </w:r>
            <w:proofErr w:type="spellEnd"/>
            <w:r>
              <w:t xml:space="preserve"> valutando il contributo del candidato:</w:t>
            </w:r>
          </w:p>
          <w:p w:rsidR="002C5AE4" w:rsidRDefault="002C5AE4" w:rsidP="0019459E">
            <w:pPr>
              <w:jc w:val="both"/>
            </w:pPr>
            <w:r>
              <w:t xml:space="preserve"> –    Primo Autore punti 0.8 </w:t>
            </w:r>
          </w:p>
          <w:p w:rsidR="002C5AE4" w:rsidRDefault="002C5AE4" w:rsidP="002C5AE4">
            <w:pPr>
              <w:numPr>
                <w:ilvl w:val="0"/>
                <w:numId w:val="3"/>
              </w:numPr>
              <w:jc w:val="both"/>
            </w:pPr>
            <w:r>
              <w:t>Coautore punti 0.5</w:t>
            </w:r>
          </w:p>
        </w:tc>
      </w:tr>
      <w:tr w:rsidR="002C5AE4" w:rsidTr="0019459E">
        <w:trPr>
          <w:trHeight w:val="2275"/>
        </w:trPr>
        <w:tc>
          <w:tcPr>
            <w:tcW w:w="2235" w:type="dxa"/>
          </w:tcPr>
          <w:p w:rsidR="002C5AE4" w:rsidRDefault="002C5AE4" w:rsidP="0019459E">
            <w:pPr>
              <w:jc w:val="both"/>
            </w:pPr>
            <w:r>
              <w:t>Curriculum formativo professionale</w:t>
            </w:r>
          </w:p>
          <w:p w:rsidR="002C5AE4" w:rsidRDefault="002C5AE4" w:rsidP="0019459E">
            <w:pPr>
              <w:jc w:val="both"/>
            </w:pPr>
            <w:r>
              <w:t xml:space="preserve">                                                      fino a punti </w:t>
            </w:r>
            <w:r w:rsidRPr="006A1061">
              <w:rPr>
                <w:b/>
              </w:rPr>
              <w:t>4</w:t>
            </w:r>
          </w:p>
        </w:tc>
        <w:tc>
          <w:tcPr>
            <w:tcW w:w="7543" w:type="dxa"/>
          </w:tcPr>
          <w:p w:rsidR="002C5AE4" w:rsidRDefault="002C5AE4" w:rsidP="002C5AE4">
            <w:pPr>
              <w:numPr>
                <w:ilvl w:val="0"/>
                <w:numId w:val="3"/>
              </w:numPr>
              <w:jc w:val="both"/>
            </w:pPr>
            <w:r>
              <w:t>Docenze a corsi universitari: punti 0,5 per anno accademico</w:t>
            </w:r>
          </w:p>
          <w:p w:rsidR="002C5AE4" w:rsidRDefault="002C5AE4" w:rsidP="002C5AE4">
            <w:pPr>
              <w:numPr>
                <w:ilvl w:val="0"/>
                <w:numId w:val="3"/>
              </w:numPr>
              <w:jc w:val="both"/>
            </w:pPr>
            <w:r>
              <w:t>Periodi di soggiorno all’estero in strutture sanitarie, anche come semplice frequentatore, per almeno 1 mese: punti 0.1 per mese</w:t>
            </w:r>
          </w:p>
          <w:p w:rsidR="002C5AE4" w:rsidRDefault="002C5AE4" w:rsidP="002C5AE4">
            <w:pPr>
              <w:numPr>
                <w:ilvl w:val="0"/>
                <w:numId w:val="3"/>
              </w:numPr>
              <w:jc w:val="both"/>
            </w:pPr>
            <w:r>
              <w:t xml:space="preserve">Attività prestata quale professionista con contratto </w:t>
            </w:r>
            <w:proofErr w:type="spellStart"/>
            <w:r>
              <w:t>co.co.co.</w:t>
            </w:r>
            <w:proofErr w:type="spellEnd"/>
            <w:r>
              <w:t xml:space="preserve"> o libero professionale presso strutture sanitarie pubbliche o convenzionate: punti 0.6 per anno – 0.05 per mese</w:t>
            </w:r>
          </w:p>
          <w:p w:rsidR="002C5AE4" w:rsidRDefault="002C5AE4" w:rsidP="002C5AE4">
            <w:pPr>
              <w:numPr>
                <w:ilvl w:val="0"/>
                <w:numId w:val="3"/>
              </w:numPr>
              <w:jc w:val="both"/>
            </w:pPr>
            <w:r>
              <w:t>Borse di studio/Assegni di ricerca attinenti la disciplina oggetto del concorso: punti 0.6</w:t>
            </w:r>
          </w:p>
        </w:tc>
      </w:tr>
    </w:tbl>
    <w:p w:rsidR="002C5AE4" w:rsidRDefault="002C5AE4" w:rsidP="002C5AE4">
      <w:pPr>
        <w:jc w:val="both"/>
      </w:pPr>
    </w:p>
    <w:p w:rsidR="002C5AE4" w:rsidRDefault="002C5AE4" w:rsidP="002C5AE4">
      <w:pPr>
        <w:jc w:val="both"/>
      </w:pPr>
      <w:r>
        <w:t>La commissione esaminatrice determina, altresì, i seguenti criteri generali per la valutazione dei titoli:</w:t>
      </w:r>
    </w:p>
    <w:p w:rsidR="002C5AE4" w:rsidRDefault="002C5AE4" w:rsidP="002C5AE4">
      <w:pPr>
        <w:jc w:val="both"/>
      </w:pPr>
      <w:r>
        <w:t xml:space="preserve">1. in caso di servizi contemporanei sarà valutato solo il servizio più favorevole al candidato; </w:t>
      </w:r>
    </w:p>
    <w:p w:rsidR="002C5AE4" w:rsidRDefault="002C5AE4" w:rsidP="002C5AE4">
      <w:pPr>
        <w:jc w:val="both"/>
      </w:pPr>
      <w:r>
        <w:t xml:space="preserve">2. i periodi di servizio omogeneo, anche se prestati in sedi diverse, saranno cumulati fra loro; </w:t>
      </w:r>
    </w:p>
    <w:p w:rsidR="002C5AE4" w:rsidRDefault="002C5AE4" w:rsidP="002C5AE4">
      <w:pPr>
        <w:jc w:val="both"/>
      </w:pPr>
      <w:r>
        <w:t xml:space="preserve">3. per la valutazione dei servizi le frazioni di anno saranno valutate in ragione mensile, considerando, come mese intero, periodi continuativi di giorni 30 o frazioni superiori a 15 giorni; non saranno valutati periodi di servizio pari o inferiori a 15 giorni; </w:t>
      </w:r>
    </w:p>
    <w:p w:rsidR="002C5AE4" w:rsidRDefault="002C5AE4" w:rsidP="002C5AE4">
      <w:pPr>
        <w:jc w:val="both"/>
      </w:pPr>
      <w:r>
        <w:t xml:space="preserve">4. i periodi di servizio prestati a tempo parziale saranno valutati proporzionalmente all’orario di lavoro previsto dal C.C.N.L.; </w:t>
      </w:r>
    </w:p>
    <w:p w:rsidR="002C5AE4" w:rsidRDefault="002C5AE4" w:rsidP="002C5AE4">
      <w:pPr>
        <w:jc w:val="both"/>
      </w:pPr>
      <w:r>
        <w:t xml:space="preserve">5. non sarà valutata l’attività di volontariato; </w:t>
      </w:r>
    </w:p>
    <w:p w:rsidR="002C5AE4" w:rsidRDefault="002C5AE4" w:rsidP="002C5AE4">
      <w:pPr>
        <w:jc w:val="both"/>
      </w:pPr>
      <w:r>
        <w:t xml:space="preserve">6. non saranno valutati attestati laudativi; </w:t>
      </w:r>
    </w:p>
    <w:p w:rsidR="002C5AE4" w:rsidRDefault="002C5AE4" w:rsidP="002C5AE4">
      <w:pPr>
        <w:jc w:val="both"/>
      </w:pPr>
      <w:r>
        <w:t xml:space="preserve">7. non saranno valutati titoli prodotti successivamente al termine utile per la presentazione delle domande; </w:t>
      </w:r>
    </w:p>
    <w:p w:rsidR="002C5AE4" w:rsidRDefault="002C5AE4" w:rsidP="002C5AE4">
      <w:pPr>
        <w:jc w:val="both"/>
      </w:pPr>
      <w:r>
        <w:t>8. non saranno valutate le idoneità conseguite in precedenti selezioni, ai sensi dell'art.11 del D.P.R. n.483/1997;</w:t>
      </w:r>
    </w:p>
    <w:p w:rsidR="002C5AE4" w:rsidRDefault="002C5AE4" w:rsidP="002C5AE4">
      <w:pPr>
        <w:jc w:val="both"/>
      </w:pPr>
      <w:r>
        <w:t>9. non saranno valutate dichiarazioni sostitutive rese dal candidato in modo non conforme alle disposizioni di cui al D.P.R. 28.12.2000, n.445, o incomplete.</w:t>
      </w:r>
    </w:p>
    <w:p w:rsidR="002C5AE4" w:rsidRDefault="002C5AE4" w:rsidP="002C5AE4">
      <w:pPr>
        <w:jc w:val="both"/>
      </w:pPr>
      <w:r>
        <w:lastRenderedPageBreak/>
        <w:t xml:space="preserve">10. non sarà valutata </w:t>
      </w:r>
      <w:r w:rsidRPr="0033185B">
        <w:t>ogni altra attività che dimostri fatti non ascrivibili alla professionalità richiesta per l’incarico</w:t>
      </w:r>
      <w:r>
        <w:t>.</w:t>
      </w:r>
    </w:p>
    <w:p w:rsidR="002C5AE4" w:rsidRDefault="002C5AE4" w:rsidP="002C5AE4">
      <w:pPr>
        <w:jc w:val="both"/>
      </w:pPr>
    </w:p>
    <w:p w:rsidR="002C5AE4" w:rsidRDefault="002C5AE4" w:rsidP="002C5AE4">
      <w:pPr>
        <w:jc w:val="both"/>
      </w:pPr>
      <w:r>
        <w:t>La Commissione all’unanimità ritiene che i requisiti richiesti per l’ammissione al concorso non possono essere oggetto di ulteriori valutazioni per punteggi addizionali.</w:t>
      </w:r>
    </w:p>
    <w:p w:rsidR="002C5AE4" w:rsidRDefault="002C5AE4" w:rsidP="002C5AE4">
      <w:pPr>
        <w:jc w:val="both"/>
      </w:pPr>
    </w:p>
    <w:p w:rsidR="002C5AE4" w:rsidRDefault="002C5AE4" w:rsidP="002C5AE4">
      <w:pPr>
        <w:jc w:val="both"/>
      </w:pPr>
      <w:r w:rsidRPr="0033185B">
        <w:t>Il servizio prestato all’estero sarà valutato come disposto dall’art. 23 del DPR 483/97</w:t>
      </w:r>
    </w:p>
    <w:p w:rsidR="002C5AE4" w:rsidRDefault="002C5AE4" w:rsidP="002C5AE4">
      <w:pPr>
        <w:jc w:val="both"/>
      </w:pPr>
    </w:p>
    <w:p w:rsidR="002C5AE4" w:rsidRDefault="002C5AE4" w:rsidP="002C5AE4">
      <w:pPr>
        <w:jc w:val="both"/>
      </w:pPr>
      <w:r>
        <w:t>Il Servizio militare di leva sarà valutato con il punteggio previsto per i servizi prestati presso pubbliche amministrazioni secondo quanto disposto dall'art. 20 comma 2, del più volte citato DPR483/97; la Commissione stabilisce quindi che sarà valutato esclusivamente il servizio prestato in qualità di Ufficiale Medico.</w:t>
      </w:r>
    </w:p>
    <w:p w:rsidR="002C5AE4" w:rsidRDefault="002C5AE4" w:rsidP="002C5AE4">
      <w:pPr>
        <w:jc w:val="both"/>
      </w:pPr>
    </w:p>
    <w:p w:rsidR="002C5AE4" w:rsidRDefault="002C5AE4" w:rsidP="002C5AE4">
      <w:pPr>
        <w:jc w:val="both"/>
      </w:pPr>
      <w:r w:rsidRPr="00C20576">
        <w:t xml:space="preserve">Per quanto attiene la determinazione dei criteri e delle modalità di valutazione delle prove concorsuali al fine di assegnare i punteggi attribuiti alle singole prove la Commissione stabilisce di individuare i seguenti parametri </w:t>
      </w:r>
      <w:r>
        <w:t>di giudizio ai quali si atterrà:</w:t>
      </w:r>
    </w:p>
    <w:p w:rsidR="002C5AE4" w:rsidRDefault="002C5AE4" w:rsidP="002C5AE4">
      <w:pPr>
        <w:numPr>
          <w:ilvl w:val="0"/>
          <w:numId w:val="3"/>
        </w:numPr>
        <w:jc w:val="both"/>
      </w:pPr>
      <w:r>
        <w:t>Aderenza alle indicazioni fornite in occasione della comunicazione della traccia del tema</w:t>
      </w:r>
    </w:p>
    <w:p w:rsidR="002C5AE4" w:rsidRDefault="002C5AE4" w:rsidP="002C5AE4">
      <w:pPr>
        <w:numPr>
          <w:ilvl w:val="0"/>
          <w:numId w:val="3"/>
        </w:numPr>
        <w:jc w:val="both"/>
      </w:pPr>
      <w:r>
        <w:t>Completezza della trattazione del tema</w:t>
      </w:r>
    </w:p>
    <w:p w:rsidR="002C5AE4" w:rsidRDefault="002C5AE4" w:rsidP="002C5AE4">
      <w:pPr>
        <w:numPr>
          <w:ilvl w:val="0"/>
          <w:numId w:val="3"/>
        </w:numPr>
        <w:jc w:val="both"/>
      </w:pPr>
      <w:r>
        <w:t>Accuratezza della citazione dei dati di letteratura.</w:t>
      </w:r>
    </w:p>
    <w:p w:rsidR="002C5AE4" w:rsidRDefault="002C5AE4" w:rsidP="002C5AE4">
      <w:pPr>
        <w:jc w:val="both"/>
      </w:pPr>
      <w:r>
        <w:t>Stabiliti i criteri di valutazione la Commissione passa ora a decidere in ordine alla prova scritta.</w:t>
      </w:r>
    </w:p>
    <w:p w:rsidR="002C5AE4" w:rsidRDefault="002C5AE4" w:rsidP="002C5AE4">
      <w:pPr>
        <w:jc w:val="both"/>
      </w:pPr>
      <w:r>
        <w:t>Ognuno dei componenti della Commissione propone, quindi, una traccia e viene, pertanto, predisposta una terna di titoli per la prova scritta registrati con numero progressivo da 1 a 3.</w:t>
      </w:r>
    </w:p>
    <w:p w:rsidR="002C5AE4" w:rsidRDefault="002C5AE4" w:rsidP="002C5AE4">
      <w:pPr>
        <w:jc w:val="both"/>
      </w:pPr>
      <w:r>
        <w:t>Le terne dei titoli sono le seguenti:</w:t>
      </w:r>
    </w:p>
    <w:p w:rsidR="002C5AE4" w:rsidRDefault="002C5AE4" w:rsidP="002C5AE4">
      <w:pPr>
        <w:numPr>
          <w:ilvl w:val="0"/>
          <w:numId w:val="10"/>
        </w:numPr>
        <w:jc w:val="both"/>
      </w:pPr>
      <w:r w:rsidRPr="00284FD4">
        <w:t>NUOVI SCENARI NEL TRATTAMENTO MEDICO DEI TUMORI DEL COLON RETTO</w:t>
      </w:r>
    </w:p>
    <w:p w:rsidR="002C5AE4" w:rsidRDefault="002C5AE4" w:rsidP="002C5AE4">
      <w:pPr>
        <w:numPr>
          <w:ilvl w:val="0"/>
          <w:numId w:val="10"/>
        </w:numPr>
      </w:pPr>
      <w:r w:rsidRPr="00284FD4">
        <w:t>L’INNOVAZIONE NEL TRATTAMENTO MEDICO DEI TUMORI DEL RENE</w:t>
      </w:r>
    </w:p>
    <w:p w:rsidR="002C5AE4" w:rsidRPr="00284FD4" w:rsidRDefault="002C5AE4" w:rsidP="002C5AE4">
      <w:pPr>
        <w:numPr>
          <w:ilvl w:val="0"/>
          <w:numId w:val="10"/>
        </w:numPr>
        <w:jc w:val="both"/>
        <w:rPr>
          <w:sz w:val="40"/>
          <w:szCs w:val="40"/>
        </w:rPr>
      </w:pPr>
      <w:r w:rsidRPr="00284FD4">
        <w:t>COSA CAMBIA NELLE SPERIMENTAZIONI CLINICHE CON L’AVVENTO DELLA MEDICINA MOLECOLARE</w:t>
      </w:r>
      <w:r>
        <w:t>.</w:t>
      </w:r>
    </w:p>
    <w:p w:rsidR="002C5AE4" w:rsidRDefault="002C5AE4" w:rsidP="002C5AE4">
      <w:pPr>
        <w:jc w:val="both"/>
      </w:pPr>
      <w:r>
        <w:t>Le tre tracce vengono dattiloscritte e chiuse rispettivamente in tre differenti buste numerate dal n. 1 al n. 3.</w:t>
      </w:r>
    </w:p>
    <w:p w:rsidR="002C5AE4" w:rsidRDefault="002C5AE4" w:rsidP="002C5AE4">
      <w:pPr>
        <w:jc w:val="both"/>
      </w:pPr>
      <w:r>
        <w:t>Viene stabilito che la prova scritta avrà la durata di 2 ore.</w:t>
      </w:r>
    </w:p>
    <w:p w:rsidR="00E069F8" w:rsidRDefault="00E069F8"/>
    <w:p w:rsidR="0070702B" w:rsidRDefault="0070702B">
      <w:proofErr w:type="spellStart"/>
      <w:r>
        <w:t>………</w:t>
      </w:r>
      <w:proofErr w:type="spellEnd"/>
      <w:r>
        <w:t>.</w:t>
      </w:r>
    </w:p>
    <w:p w:rsidR="0070702B" w:rsidRDefault="0070702B">
      <w:proofErr w:type="spellStart"/>
      <w:r>
        <w:t>………</w:t>
      </w:r>
      <w:proofErr w:type="spellEnd"/>
    </w:p>
    <w:p w:rsidR="002C5AE4" w:rsidRDefault="002C5AE4" w:rsidP="002C5AE4">
      <w:pPr>
        <w:jc w:val="both"/>
      </w:pPr>
      <w:r>
        <w:t xml:space="preserve">Il Presidente della Commissione dopo aver illustrato le modalità di svolgimento della prova e fatta constatare l’integrità delle tre buste predisposte e contenenti le tre tracce, invita uno dei candidati ad estrarre il compito da svolgere. Alle ore 9.15 si presenta spontaneamente la dr.ssa Francesca </w:t>
      </w:r>
      <w:proofErr w:type="spellStart"/>
      <w:r>
        <w:t>Calabretta</w:t>
      </w:r>
      <w:proofErr w:type="spellEnd"/>
      <w:r>
        <w:t xml:space="preserve"> che estrae la busta n. 2.</w:t>
      </w:r>
    </w:p>
    <w:p w:rsidR="002C5AE4" w:rsidRDefault="002C5AE4" w:rsidP="002C5AE4">
      <w:pPr>
        <w:jc w:val="both"/>
      </w:pPr>
      <w:r>
        <w:t xml:space="preserve">Il Presidente dà lettura delle tracce di esame non sorteggiate e riportate nelle buste con i numeri 1 e 3.  Viene data lettura della traccia contenuta nella busta n. 2 estratta che sarà oggetto della prova scritta e precisamente: </w:t>
      </w:r>
    </w:p>
    <w:p w:rsidR="002C5AE4" w:rsidRPr="00A03E71" w:rsidRDefault="002C5AE4" w:rsidP="002C5AE4">
      <w:pPr>
        <w:jc w:val="both"/>
        <w:rPr>
          <w:b/>
        </w:rPr>
      </w:pPr>
      <w:r>
        <w:rPr>
          <w:b/>
        </w:rPr>
        <w:t>Traccia</w:t>
      </w:r>
      <w:r w:rsidRPr="00A03E71">
        <w:rPr>
          <w:b/>
        </w:rPr>
        <w:t xml:space="preserve"> prova scritta n. </w:t>
      </w:r>
      <w:r>
        <w:rPr>
          <w:b/>
        </w:rPr>
        <w:t>2</w:t>
      </w:r>
    </w:p>
    <w:p w:rsidR="002C5AE4" w:rsidRDefault="002C5AE4" w:rsidP="002C5AE4">
      <w:pPr>
        <w:jc w:val="both"/>
      </w:pPr>
      <w:r>
        <w:t>Il candidato affronti il tema “L’innovazione nel trattamento medico dei tumori del rene”.</w:t>
      </w:r>
    </w:p>
    <w:p w:rsidR="002C5AE4" w:rsidRDefault="002C5AE4" w:rsidP="002C5AE4">
      <w:pPr>
        <w:jc w:val="both"/>
      </w:pPr>
      <w:r>
        <w:t>Per uno svolgimento adeguato della prova è necessario affrontare i seguenti punti:</w:t>
      </w:r>
    </w:p>
    <w:p w:rsidR="002C5AE4" w:rsidRDefault="002C5AE4" w:rsidP="002C5AE4">
      <w:pPr>
        <w:numPr>
          <w:ilvl w:val="0"/>
          <w:numId w:val="3"/>
        </w:numPr>
        <w:jc w:val="both"/>
      </w:pPr>
      <w:r>
        <w:t>Aderenza alle indicazioni fornite in occasione della comunicazione della traccia del tema;</w:t>
      </w:r>
    </w:p>
    <w:p w:rsidR="002C5AE4" w:rsidRDefault="002C5AE4" w:rsidP="002C5AE4">
      <w:pPr>
        <w:numPr>
          <w:ilvl w:val="0"/>
          <w:numId w:val="3"/>
        </w:numPr>
        <w:jc w:val="both"/>
      </w:pPr>
      <w:r>
        <w:t>Completezza della trattazione del tema;</w:t>
      </w:r>
    </w:p>
    <w:p w:rsidR="002C5AE4" w:rsidRDefault="002C5AE4" w:rsidP="002C5AE4">
      <w:pPr>
        <w:numPr>
          <w:ilvl w:val="0"/>
          <w:numId w:val="3"/>
        </w:numPr>
        <w:jc w:val="both"/>
      </w:pPr>
      <w:r>
        <w:t>Accuratezza della citazione dei dati di letteratura.</w:t>
      </w:r>
    </w:p>
    <w:p w:rsidR="002C5AE4" w:rsidRDefault="002C5AE4" w:rsidP="002C5AE4">
      <w:pPr>
        <w:jc w:val="both"/>
        <w:rPr>
          <w:b/>
        </w:rPr>
      </w:pPr>
      <w:r>
        <w:t>Si procede alla dettatura della domanda estratta.</w:t>
      </w:r>
      <w:r w:rsidRPr="000E795E">
        <w:rPr>
          <w:b/>
        </w:rPr>
        <w:t xml:space="preserve"> </w:t>
      </w:r>
    </w:p>
    <w:p w:rsidR="002C5AE4" w:rsidRDefault="002C5AE4" w:rsidP="002C5AE4">
      <w:pPr>
        <w:jc w:val="both"/>
      </w:pPr>
      <w:r>
        <w:t>Il Presidente avverte i candidati che per lo svolgimento della prova avranno a disposizione 2 ore e che pertanto, iniziando la prova alle ore 9.20 dovranno consegnare l’elaborato entro le ore 11.20.</w:t>
      </w:r>
    </w:p>
    <w:p w:rsidR="002C5AE4" w:rsidRDefault="002C5AE4" w:rsidP="002C5AE4">
      <w:pPr>
        <w:jc w:val="both"/>
      </w:pPr>
      <w:r>
        <w:t xml:space="preserve">Durante lo svolgimento della prova scritta sono sempre presenti in aula almeno un Componente della Commissione ed il Segretario. </w:t>
      </w:r>
    </w:p>
    <w:p w:rsidR="0070702B" w:rsidRDefault="0070702B"/>
    <w:p w:rsidR="0070702B" w:rsidRPr="003F1655" w:rsidRDefault="0070702B">
      <w:pPr>
        <w:rPr>
          <w:b/>
        </w:rPr>
      </w:pPr>
      <w:r w:rsidRPr="003F1655">
        <w:rPr>
          <w:b/>
        </w:rPr>
        <w:t>TRACCE PROVA PRATICA</w:t>
      </w:r>
    </w:p>
    <w:p w:rsidR="0070702B" w:rsidRDefault="0070702B"/>
    <w:p w:rsidR="0070702B" w:rsidRPr="003F1655" w:rsidRDefault="003F1655" w:rsidP="0070702B">
      <w:pPr>
        <w:jc w:val="both"/>
        <w:rPr>
          <w:i/>
        </w:rPr>
      </w:pPr>
      <w:r w:rsidRPr="003F1655">
        <w:rPr>
          <w:i/>
        </w:rPr>
        <w:t>(</w:t>
      </w:r>
      <w:r w:rsidR="0070702B" w:rsidRPr="003F1655">
        <w:rPr>
          <w:i/>
        </w:rPr>
        <w:t xml:space="preserve">estratto verbale del </w:t>
      </w:r>
      <w:r w:rsidR="0047730B">
        <w:rPr>
          <w:i/>
        </w:rPr>
        <w:t>19/0</w:t>
      </w:r>
      <w:r w:rsidR="002C5AE4">
        <w:rPr>
          <w:i/>
        </w:rPr>
        <w:t>2</w:t>
      </w:r>
      <w:r w:rsidR="0047730B">
        <w:rPr>
          <w:i/>
        </w:rPr>
        <w:t>/2020</w:t>
      </w:r>
      <w:r w:rsidR="0070702B" w:rsidRPr="003F1655">
        <w:rPr>
          <w:i/>
        </w:rPr>
        <w:t xml:space="preserve"> della Commissione Esaminatrice)</w:t>
      </w:r>
    </w:p>
    <w:p w:rsidR="0070702B" w:rsidRDefault="0070702B" w:rsidP="0070702B">
      <w:pPr>
        <w:jc w:val="both"/>
      </w:pPr>
      <w:proofErr w:type="spellStart"/>
      <w:r>
        <w:t>…………………</w:t>
      </w:r>
      <w:proofErr w:type="spellEnd"/>
    </w:p>
    <w:p w:rsidR="0070702B" w:rsidRDefault="0070702B" w:rsidP="0070702B">
      <w:pPr>
        <w:jc w:val="both"/>
      </w:pPr>
      <w:proofErr w:type="spellStart"/>
      <w:r>
        <w:t>…………………</w:t>
      </w:r>
      <w:proofErr w:type="spellEnd"/>
    </w:p>
    <w:p w:rsidR="002C5AE4" w:rsidRDefault="002C5AE4" w:rsidP="002C5AE4">
      <w:pPr>
        <w:jc w:val="both"/>
      </w:pPr>
      <w:r>
        <w:t xml:space="preserve">Come previsto dall’art.9 del bando di concorso la prova pratica consisterà su tecniche e manualità peculiari della disciplina messa a concorso e che la stessa dovrà essere comunque illustrata schematicamente per iscritto. </w:t>
      </w:r>
    </w:p>
    <w:p w:rsidR="002C5AE4" w:rsidRDefault="002C5AE4" w:rsidP="002C5AE4">
      <w:pPr>
        <w:jc w:val="both"/>
      </w:pPr>
      <w:r>
        <w:t>La Commissione predispone, pertanto, la seguente terna di titoli per la prova pratica registrati con numero progressivo da 1 a 3:</w:t>
      </w:r>
    </w:p>
    <w:p w:rsidR="002C5AE4" w:rsidRDefault="002C5AE4" w:rsidP="002C5AE4">
      <w:pPr>
        <w:jc w:val="both"/>
      </w:pPr>
      <w:r>
        <w:t xml:space="preserve">N. 1 – “Si rivolge in visita una signora di 55 anni in buone condizioni generali. Non fumatrice e senza </w:t>
      </w:r>
      <w:proofErr w:type="spellStart"/>
      <w:r>
        <w:t>comorbidità</w:t>
      </w:r>
      <w:proofErr w:type="spellEnd"/>
      <w:r>
        <w:t xml:space="preserve">. La storia clinica della paziente inizia quando, in seguito a quadro di bronchite persistente, effettua una TAC del torace: si apprezza formazione nodulare nel lobo superiore destro polmonare, con contorni irregolari </w:t>
      </w:r>
      <w:proofErr w:type="spellStart"/>
      <w:r>
        <w:t>spiculati</w:t>
      </w:r>
      <w:proofErr w:type="spellEnd"/>
      <w:r>
        <w:t xml:space="preserve">, di 32x22 mm, in contatto con la superficie pleurica; si apprezzano inoltre </w:t>
      </w:r>
      <w:proofErr w:type="spellStart"/>
      <w:r>
        <w:t>linfoadenopatie</w:t>
      </w:r>
      <w:proofErr w:type="spellEnd"/>
      <w:r>
        <w:t xml:space="preserve"> ilo e </w:t>
      </w:r>
      <w:proofErr w:type="spellStart"/>
      <w:r>
        <w:t>pre-tracheali</w:t>
      </w:r>
      <w:proofErr w:type="spellEnd"/>
      <w:r>
        <w:t xml:space="preserve"> DM 15 mm. Effettua quindi un’</w:t>
      </w:r>
      <w:proofErr w:type="spellStart"/>
      <w:r>
        <w:t>agobiopsia</w:t>
      </w:r>
      <w:proofErr w:type="spellEnd"/>
      <w:r>
        <w:t xml:space="preserve"> della lesione polmonare: l’esame istologico depone per adenocarcinoma polmonare, EGFR, KRAS, ALK, ROS-1 e PD-L1 negativo. Una PET total body + RMN encefalo di </w:t>
      </w:r>
      <w:proofErr w:type="spellStart"/>
      <w:r>
        <w:t>stadazione</w:t>
      </w:r>
      <w:proofErr w:type="spellEnd"/>
      <w:r>
        <w:t xml:space="preserve"> dimostrano malattia diffusa anche a livello </w:t>
      </w:r>
      <w:proofErr w:type="spellStart"/>
      <w:r>
        <w:t>linfonodale</w:t>
      </w:r>
      <w:proofErr w:type="spellEnd"/>
      <w:r>
        <w:t xml:space="preserve"> </w:t>
      </w:r>
      <w:proofErr w:type="spellStart"/>
      <w:r>
        <w:t>sovraclaveare</w:t>
      </w:r>
      <w:proofErr w:type="spellEnd"/>
      <w:r>
        <w:t xml:space="preserve"> destro, ed a livello </w:t>
      </w:r>
      <w:proofErr w:type="spellStart"/>
      <w:r>
        <w:t>surrenalico</w:t>
      </w:r>
      <w:proofErr w:type="spellEnd"/>
      <w:r>
        <w:t xml:space="preserve"> destro.</w:t>
      </w:r>
    </w:p>
    <w:p w:rsidR="002C5AE4" w:rsidRDefault="002C5AE4" w:rsidP="002C5AE4">
      <w:pPr>
        <w:jc w:val="both"/>
      </w:pPr>
      <w:r>
        <w:t>Indicare l’approccio terapeutico corretto”.</w:t>
      </w:r>
    </w:p>
    <w:p w:rsidR="002C5AE4" w:rsidRDefault="002C5AE4" w:rsidP="002C5AE4">
      <w:pPr>
        <w:jc w:val="both"/>
      </w:pPr>
    </w:p>
    <w:p w:rsidR="002C5AE4" w:rsidRDefault="002C5AE4" w:rsidP="002C5AE4">
      <w:pPr>
        <w:jc w:val="both"/>
      </w:pPr>
      <w:r>
        <w:t xml:space="preserve">N. 2 – “Paziente di 54 anni – Asintomatico, non assume farmaci – Comparsa di algie addominali ed in regione lombare da circa un mese – Eco addome: negativo – Per il perdurare della sintomatologia e calo ponderale effettua una TAC addome che mostra una neoformazione della testa del pancreas di 4 cm con coinvolgimento dell’asse vascolare </w:t>
      </w:r>
      <w:proofErr w:type="spellStart"/>
      <w:r>
        <w:t>splenoportomesenterico</w:t>
      </w:r>
      <w:proofErr w:type="spellEnd"/>
      <w:r>
        <w:t xml:space="preserve"> e </w:t>
      </w:r>
      <w:proofErr w:type="spellStart"/>
      <w:r>
        <w:t>cavernomatosi</w:t>
      </w:r>
      <w:proofErr w:type="spellEnd"/>
      <w:r>
        <w:t xml:space="preserve"> portale – Ca 19.9=354 – Come procedi con l’iter diagnostico-terapeutico?</w:t>
      </w:r>
    </w:p>
    <w:p w:rsidR="002C5AE4" w:rsidRDefault="002C5AE4" w:rsidP="002C5AE4">
      <w:pPr>
        <w:jc w:val="both"/>
      </w:pPr>
      <w:r>
        <w:t xml:space="preserve">N. 3 – “Paziente di 25 anni non coniugato – Pregressa epatite A – Assenza di </w:t>
      </w:r>
      <w:proofErr w:type="spellStart"/>
      <w:r>
        <w:t>comorbilità</w:t>
      </w:r>
      <w:proofErr w:type="spellEnd"/>
      <w:r>
        <w:t xml:space="preserve"> di rilievo – Settembre 2018: riscontro di tumefazione testicolo </w:t>
      </w:r>
      <w:proofErr w:type="spellStart"/>
      <w:r>
        <w:t>sn</w:t>
      </w:r>
      <w:proofErr w:type="spellEnd"/>
      <w:r>
        <w:t xml:space="preserve"> – 24.09.2018: intervento chirurgico di </w:t>
      </w:r>
      <w:proofErr w:type="spellStart"/>
      <w:r>
        <w:t>Orchifunicolectomia</w:t>
      </w:r>
      <w:proofErr w:type="spellEnd"/>
      <w:r>
        <w:t xml:space="preserve"> </w:t>
      </w:r>
      <w:proofErr w:type="spellStart"/>
      <w:r>
        <w:t>sn</w:t>
      </w:r>
      <w:proofErr w:type="spellEnd"/>
      <w:r>
        <w:t xml:space="preserve"> – Es. </w:t>
      </w:r>
      <w:proofErr w:type="spellStart"/>
      <w:r>
        <w:t>Istol</w:t>
      </w:r>
      <w:proofErr w:type="spellEnd"/>
      <w:r>
        <w:t xml:space="preserve">.: seminoma classico 65 mm con pattern di crescita di tipo espansivo. La sottile rima di testicolo residuo mostra GCNIS. Rete </w:t>
      </w:r>
      <w:proofErr w:type="spellStart"/>
      <w:r>
        <w:t>testis</w:t>
      </w:r>
      <w:proofErr w:type="spellEnd"/>
      <w:r>
        <w:t xml:space="preserve">, capsula, epididimo, e margine di exeresi, campionato sul funicolo, esenti. </w:t>
      </w:r>
      <w:proofErr w:type="spellStart"/>
      <w:r>
        <w:t>Angioinvasione</w:t>
      </w:r>
      <w:proofErr w:type="spellEnd"/>
      <w:r>
        <w:t xml:space="preserve"> assente. pT1 </w:t>
      </w:r>
      <w:proofErr w:type="spellStart"/>
      <w:r>
        <w:t>bNx</w:t>
      </w:r>
      <w:proofErr w:type="spellEnd"/>
      <w:r>
        <w:t xml:space="preserve"> RO – </w:t>
      </w:r>
      <w:proofErr w:type="spellStart"/>
      <w:r>
        <w:t>Stadazione</w:t>
      </w:r>
      <w:proofErr w:type="spellEnd"/>
      <w:r>
        <w:t xml:space="preserve"> – Iter terapeutico – Raccomandazioni – Follow-up”.</w:t>
      </w:r>
    </w:p>
    <w:p w:rsidR="002C5AE4" w:rsidRDefault="002C5AE4" w:rsidP="002C5AE4">
      <w:pPr>
        <w:jc w:val="both"/>
      </w:pPr>
    </w:p>
    <w:p w:rsidR="002C5AE4" w:rsidRDefault="002C5AE4" w:rsidP="002C5AE4">
      <w:pPr>
        <w:jc w:val="both"/>
      </w:pPr>
      <w:r>
        <w:t>I tre titoli vengono, quindi, inseriti in separate buste numerate progressivamente dal n. 1 al n. 3, suggellate e firmate esternamente sui lembi da tutti i componenti della Commissione e dal Segretario.</w:t>
      </w:r>
    </w:p>
    <w:p w:rsidR="002C5AE4" w:rsidRDefault="002C5AE4" w:rsidP="002C5AE4">
      <w:pPr>
        <w:jc w:val="both"/>
      </w:pPr>
      <w:r>
        <w:t>Viene stabilito che la prova pratica avrà la durata di 20’.</w:t>
      </w:r>
    </w:p>
    <w:p w:rsidR="0070702B" w:rsidRDefault="0070702B" w:rsidP="0070702B">
      <w:pPr>
        <w:jc w:val="both"/>
      </w:pPr>
    </w:p>
    <w:p w:rsidR="0070702B" w:rsidRDefault="0070702B" w:rsidP="0070702B">
      <w:pPr>
        <w:jc w:val="both"/>
      </w:pPr>
      <w:proofErr w:type="spellStart"/>
      <w:r>
        <w:t>………………</w:t>
      </w:r>
      <w:proofErr w:type="spellEnd"/>
      <w:r>
        <w:t>.</w:t>
      </w:r>
    </w:p>
    <w:p w:rsidR="0070702B" w:rsidRDefault="0070702B" w:rsidP="0070702B">
      <w:pPr>
        <w:jc w:val="both"/>
      </w:pPr>
      <w:proofErr w:type="spellStart"/>
      <w:r>
        <w:t>………………</w:t>
      </w:r>
      <w:proofErr w:type="spellEnd"/>
      <w:r>
        <w:t>.</w:t>
      </w:r>
    </w:p>
    <w:p w:rsidR="002C5AE4" w:rsidRDefault="002C5AE4" w:rsidP="0070702B">
      <w:pPr>
        <w:jc w:val="both"/>
      </w:pPr>
    </w:p>
    <w:p w:rsidR="0070702B" w:rsidRPr="005A1682" w:rsidRDefault="0070702B" w:rsidP="002C5AE4">
      <w:pPr>
        <w:jc w:val="both"/>
        <w:rPr>
          <w:sz w:val="12"/>
          <w:szCs w:val="12"/>
        </w:rPr>
      </w:pPr>
      <w:r>
        <w:t xml:space="preserve">… </w:t>
      </w:r>
      <w:r w:rsidRPr="005A1682">
        <w:t xml:space="preserve"> </w:t>
      </w:r>
      <w:r w:rsidR="002C5AE4">
        <w:t xml:space="preserve">Il Presidente della Commissione dopo aver illustrato le modalità di svolgimento della prova e fatta constatare l’integrità delle tre buste predisposte e contenenti i tre titoli, invita uno dei candidati ad estrarre il compito da svolgere. Si presenta la dr.ssa Francesca </w:t>
      </w:r>
      <w:proofErr w:type="spellStart"/>
      <w:r w:rsidR="002C5AE4">
        <w:t>Calabretta</w:t>
      </w:r>
      <w:proofErr w:type="spellEnd"/>
      <w:r w:rsidR="002C5AE4">
        <w:t xml:space="preserve"> che sorteggia la busta n. 2. Il Presidente dà lettura delle prove di esame non sorteggiate e riportate nelle buste n. 1 e n. 3. Viene data lettura della domanda contenuta nella busta n. 2 estratta che sarà oggetto della prova </w:t>
      </w:r>
      <w:proofErr w:type="spellStart"/>
      <w:r w:rsidR="002C5AE4">
        <w:t>pratica……</w:t>
      </w:r>
      <w:proofErr w:type="spellEnd"/>
      <w:r w:rsidR="002C5AE4">
        <w:t>..</w:t>
      </w:r>
    </w:p>
    <w:p w:rsidR="0070702B" w:rsidRDefault="0070702B" w:rsidP="0070702B">
      <w:pPr>
        <w:jc w:val="both"/>
      </w:pPr>
    </w:p>
    <w:p w:rsidR="003F1655" w:rsidRDefault="003F1655" w:rsidP="0070702B">
      <w:pPr>
        <w:jc w:val="both"/>
      </w:pPr>
      <w:proofErr w:type="spellStart"/>
      <w:r>
        <w:t>……………</w:t>
      </w:r>
      <w:proofErr w:type="spellEnd"/>
    </w:p>
    <w:p w:rsidR="003F1655" w:rsidRDefault="003F1655" w:rsidP="0070702B">
      <w:pPr>
        <w:jc w:val="both"/>
      </w:pPr>
      <w:proofErr w:type="spellStart"/>
      <w:r>
        <w:t>……………</w:t>
      </w:r>
      <w:proofErr w:type="spellEnd"/>
    </w:p>
    <w:p w:rsidR="003F1655" w:rsidRDefault="003F1655" w:rsidP="0070702B">
      <w:pPr>
        <w:jc w:val="both"/>
      </w:pPr>
    </w:p>
    <w:p w:rsidR="003F1655" w:rsidRDefault="003F1655" w:rsidP="0070702B">
      <w:pPr>
        <w:jc w:val="both"/>
        <w:rPr>
          <w:b/>
        </w:rPr>
      </w:pPr>
      <w:r w:rsidRPr="0047730B">
        <w:rPr>
          <w:b/>
        </w:rPr>
        <w:lastRenderedPageBreak/>
        <w:t xml:space="preserve">TRACCE PROVA ORALE </w:t>
      </w:r>
    </w:p>
    <w:p w:rsidR="0047730B" w:rsidRPr="003F1655" w:rsidRDefault="0047730B" w:rsidP="0047730B">
      <w:pPr>
        <w:jc w:val="both"/>
        <w:rPr>
          <w:i/>
        </w:rPr>
      </w:pPr>
      <w:r w:rsidRPr="003F1655">
        <w:rPr>
          <w:i/>
        </w:rPr>
        <w:t xml:space="preserve">(estratto verbale del </w:t>
      </w:r>
      <w:r w:rsidR="002B2906" w:rsidRPr="00B06211">
        <w:rPr>
          <w:b/>
          <w:i/>
        </w:rPr>
        <w:t>22/07/2020</w:t>
      </w:r>
      <w:r w:rsidRPr="003F1655">
        <w:rPr>
          <w:i/>
        </w:rPr>
        <w:t xml:space="preserve"> della Commissione Esaminatrice)</w:t>
      </w:r>
    </w:p>
    <w:p w:rsidR="003F1655" w:rsidRDefault="003F1655" w:rsidP="0070702B">
      <w:pPr>
        <w:jc w:val="both"/>
      </w:pPr>
      <w:proofErr w:type="spellStart"/>
      <w:r>
        <w:t>…………</w:t>
      </w:r>
      <w:proofErr w:type="spellEnd"/>
      <w:r>
        <w:t>..</w:t>
      </w:r>
    </w:p>
    <w:p w:rsidR="003F1655" w:rsidRDefault="003F1655" w:rsidP="0070702B">
      <w:pPr>
        <w:jc w:val="both"/>
      </w:pPr>
      <w:proofErr w:type="spellStart"/>
      <w:r>
        <w:t>…………</w:t>
      </w:r>
      <w:proofErr w:type="spellEnd"/>
      <w:r>
        <w:t>.</w:t>
      </w:r>
    </w:p>
    <w:p w:rsidR="003F1655" w:rsidRDefault="003F1655" w:rsidP="0070702B">
      <w:pPr>
        <w:jc w:val="both"/>
      </w:pPr>
    </w:p>
    <w:p w:rsidR="002B2906" w:rsidRDefault="002B2906" w:rsidP="002B2906">
      <w:pPr>
        <w:jc w:val="both"/>
      </w:pPr>
      <w:r>
        <w:t>La Commissione prende atto che, in considerazione del noto stato di emergenza sanitaria dovuto alla diffusione del Covid-19, le date della prova orale previste per il 12 e 13 marzo 2020 – come da pubblicazione avvenuta sul sito aziendale - sono state rinviate alla data del 22 e 27 luglio 2020.</w:t>
      </w:r>
    </w:p>
    <w:p w:rsidR="002B2906" w:rsidRDefault="002B2906" w:rsidP="002B2906">
      <w:pPr>
        <w:jc w:val="both"/>
      </w:pPr>
    </w:p>
    <w:p w:rsidR="002B2906" w:rsidRDefault="002B2906" w:rsidP="002B2906">
      <w:pPr>
        <w:jc w:val="both"/>
      </w:pPr>
      <w:r>
        <w:t xml:space="preserve">Al fine di dar seguito ai lavori della giornata relativi allo svolgimento della I sessione della prova orale, la Commissione provvede alla formulazione di 56 domande: 28 domande di Tipo “A” </w:t>
      </w:r>
      <w:proofErr w:type="spellStart"/>
      <w:r>
        <w:t>clinico-scientifiche</w:t>
      </w:r>
      <w:proofErr w:type="spellEnd"/>
      <w:r>
        <w:t xml:space="preserve"> e 28 domande di Tipo “B” </w:t>
      </w:r>
      <w:proofErr w:type="spellStart"/>
      <w:r>
        <w:t>organizzativo-amministrative</w:t>
      </w:r>
      <w:proofErr w:type="spellEnd"/>
      <w:r>
        <w:t xml:space="preserve"> (allegate al presente verbale). Il Segretario procede a numerare dal n. 1 al n. 28 le buste contenenti n. 28 domande di Tipo “A” e n. 28 domande di Tipo “B”, predisposte e redatte dalla Commissione, e a farle siglare da un Componente della Commissione stessa.</w:t>
      </w:r>
    </w:p>
    <w:p w:rsidR="002B2906" w:rsidRDefault="002B2906" w:rsidP="002B2906">
      <w:pPr>
        <w:jc w:val="both"/>
      </w:pPr>
    </w:p>
    <w:p w:rsidR="002B2906" w:rsidRDefault="002B2906" w:rsidP="002B2906">
      <w:pPr>
        <w:jc w:val="both"/>
      </w:pPr>
      <w:r>
        <w:t xml:space="preserve">La Commissione stabilisce che per la valutazione del colloquio di ciascun candidato terrà conto della chiarezza espositiva, della correttezza delle risposte, </w:t>
      </w:r>
      <w:proofErr w:type="spellStart"/>
      <w:r>
        <w:t>nonchè</w:t>
      </w:r>
      <w:proofErr w:type="spellEnd"/>
      <w:r>
        <w:t xml:space="preserve"> dell’uso di linguaggio scientifico appropriato. I</w:t>
      </w:r>
      <w:r w:rsidRPr="003871B3">
        <w:t>l superamento del colloquio è subordinato al raggiungimento di una valutazione di sufficienza espressa in termini numerici di almeno 14/20.</w:t>
      </w:r>
    </w:p>
    <w:p w:rsidR="002B2906" w:rsidRDefault="002B2906" w:rsidP="0070702B">
      <w:pPr>
        <w:jc w:val="both"/>
      </w:pPr>
      <w:proofErr w:type="spellStart"/>
      <w:r>
        <w:t>……</w:t>
      </w:r>
      <w:proofErr w:type="spellEnd"/>
    </w:p>
    <w:p w:rsidR="002B2906" w:rsidRDefault="002B2906" w:rsidP="0070702B">
      <w:pPr>
        <w:jc w:val="both"/>
      </w:pPr>
      <w:proofErr w:type="spellStart"/>
      <w:r>
        <w:t>……</w:t>
      </w:r>
      <w:proofErr w:type="spellEnd"/>
      <w:r>
        <w:t>..</w:t>
      </w:r>
    </w:p>
    <w:p w:rsidR="002B2906" w:rsidRDefault="002B2906" w:rsidP="0070702B">
      <w:pPr>
        <w:jc w:val="both"/>
      </w:pPr>
    </w:p>
    <w:p w:rsidR="002B2906" w:rsidRDefault="002B2906" w:rsidP="002B2906">
      <w:pPr>
        <w:rPr>
          <w:b/>
        </w:rPr>
      </w:pPr>
      <w:r>
        <w:rPr>
          <w:b/>
        </w:rPr>
        <w:t>DOMANDE T</w:t>
      </w:r>
      <w:r w:rsidRPr="00983DCC">
        <w:rPr>
          <w:b/>
        </w:rPr>
        <w:t>IPO A</w:t>
      </w:r>
      <w:r>
        <w:rPr>
          <w:b/>
        </w:rPr>
        <w:t xml:space="preserve"> – CLINICO SCIENTIFICHE </w:t>
      </w:r>
    </w:p>
    <w:p w:rsidR="002B2906" w:rsidRPr="00983DCC" w:rsidRDefault="002B2906" w:rsidP="002B2906">
      <w:pPr>
        <w:rPr>
          <w:b/>
        </w:rPr>
      </w:pPr>
      <w:r>
        <w:rPr>
          <w:b/>
        </w:rPr>
        <w:t>PROVA ORALE DEL 22.07.2020</w:t>
      </w:r>
    </w:p>
    <w:p w:rsidR="002B2906" w:rsidRDefault="002B2906" w:rsidP="002B2906"/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 xml:space="preserve">Il trattamento con immunoterapia del melanoma metastatico (classi di farmaci, indicazioni e risultati clinici)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B2906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 xml:space="preserve">La tossicità dei farmaci </w:t>
      </w:r>
      <w:proofErr w:type="spellStart"/>
      <w:r>
        <w:t>immunoterapici</w:t>
      </w:r>
      <w:proofErr w:type="spellEnd"/>
      <w:r>
        <w:t xml:space="preserve"> (tipologia e trattamento)</w:t>
      </w:r>
      <w:r>
        <w:tab/>
      </w:r>
      <w:r>
        <w:tab/>
      </w:r>
      <w:r>
        <w:tab/>
      </w:r>
      <w:r>
        <w:tab/>
        <w:t xml:space="preserve">      </w:t>
      </w:r>
    </w:p>
    <w:p w:rsidR="002B2906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 xml:space="preserve">La classificazione </w:t>
      </w:r>
      <w:proofErr w:type="spellStart"/>
      <w:r>
        <w:t>istomorfologica</w:t>
      </w:r>
      <w:proofErr w:type="spellEnd"/>
      <w:r>
        <w:t xml:space="preserve"> e molecolare e lo </w:t>
      </w:r>
      <w:proofErr w:type="spellStart"/>
      <w:r>
        <w:t>staging</w:t>
      </w:r>
      <w:proofErr w:type="spellEnd"/>
      <w:r>
        <w:t xml:space="preserve"> del melanoma maligno</w:t>
      </w:r>
      <w:r>
        <w:tab/>
        <w:t xml:space="preserve">      </w:t>
      </w:r>
    </w:p>
    <w:p w:rsidR="002B2906" w:rsidRDefault="002B2906" w:rsidP="002B2906">
      <w:pPr>
        <w:pStyle w:val="Paragrafoelenco"/>
        <w:ind w:right="-285"/>
        <w:jc w:val="both"/>
      </w:pPr>
    </w:p>
    <w:p w:rsidR="002B2906" w:rsidRPr="003443FD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  <w:rPr>
          <w:b/>
        </w:rPr>
      </w:pPr>
      <w:r>
        <w:t>Il trattamento delle pazienti con carcinoma mammario triplo negativo metastatico</w:t>
      </w:r>
      <w:r>
        <w:tab/>
        <w:t xml:space="preserve">      </w:t>
      </w:r>
    </w:p>
    <w:p w:rsidR="002B2906" w:rsidRPr="003443FD" w:rsidRDefault="002B2906" w:rsidP="002B2906">
      <w:pPr>
        <w:pStyle w:val="Paragrafoelenco"/>
      </w:pPr>
      <w:bookmarkStart w:id="0" w:name="_GoBack"/>
      <w:bookmarkEnd w:id="0"/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>L’intensificazione delle dosi nel trattamento neo-adiuvante del carcinoma mammario ad alto rischio (risultati clinici ed indicazioni)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B2906" w:rsidRPr="00722FCD" w:rsidRDefault="002B2906" w:rsidP="002B2906">
      <w:pPr>
        <w:pStyle w:val="Paragrafoelenco"/>
        <w:ind w:right="-285"/>
        <w:jc w:val="both"/>
      </w:pPr>
    </w:p>
    <w:p w:rsidR="002B2906" w:rsidRPr="003443FD" w:rsidRDefault="002B2906" w:rsidP="002B2906">
      <w:pPr>
        <w:pStyle w:val="Paragrafoelenco"/>
        <w:numPr>
          <w:ilvl w:val="0"/>
          <w:numId w:val="12"/>
        </w:numPr>
        <w:tabs>
          <w:tab w:val="left" w:pos="9214"/>
        </w:tabs>
        <w:spacing w:after="160" w:line="259" w:lineRule="auto"/>
        <w:ind w:left="709" w:right="-285" w:hanging="349"/>
        <w:contextualSpacing/>
        <w:jc w:val="both"/>
        <w:rPr>
          <w:b/>
        </w:rPr>
      </w:pPr>
      <w:r>
        <w:t xml:space="preserve">I test genomici nella selezione dei trattamenti adiuvanti del carcinoma mammario operato    </w:t>
      </w:r>
    </w:p>
    <w:p w:rsidR="002B2906" w:rsidRPr="00722FCD" w:rsidRDefault="002B2906" w:rsidP="002B2906">
      <w:pPr>
        <w:pStyle w:val="Paragrafoelenco"/>
        <w:ind w:right="-285"/>
        <w:jc w:val="both"/>
      </w:pPr>
    </w:p>
    <w:p w:rsidR="002B2906" w:rsidRPr="003443FD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  <w:rPr>
          <w:b/>
        </w:rPr>
      </w:pPr>
      <w:r>
        <w:t>La chemio-radioterapia nel trattamento adiuvante del carcinoma della vescica</w:t>
      </w:r>
      <w:r>
        <w:tab/>
      </w:r>
      <w:r>
        <w:tab/>
        <w:t xml:space="preserve">      </w:t>
      </w:r>
    </w:p>
    <w:p w:rsidR="002B2906" w:rsidRPr="00722FCD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>Il trattamento adiuvante del carcinoma renale metastatico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B2906" w:rsidRPr="00722FCD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>La classificazione molecolare ed i fattori prognostici dei tumori celebrali</w:t>
      </w:r>
      <w:r>
        <w:tab/>
      </w:r>
      <w:r>
        <w:tab/>
      </w:r>
      <w:r>
        <w:tab/>
      </w:r>
      <w:r w:rsidRPr="003443FD">
        <w:rPr>
          <w:b/>
        </w:rPr>
        <w:t xml:space="preserve">     </w:t>
      </w:r>
      <w:r>
        <w:rPr>
          <w:b/>
        </w:rPr>
        <w:t xml:space="preserve"> </w:t>
      </w:r>
    </w:p>
    <w:p w:rsidR="002B2906" w:rsidRPr="00722FCD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>Il trattamento del glioblastoma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B2906" w:rsidRPr="00722FCD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 xml:space="preserve">Qual è il trattamento adeguato di I linea nel paziente </w:t>
      </w:r>
      <w:proofErr w:type="spellStart"/>
      <w:r>
        <w:t>ormono-resistente</w:t>
      </w:r>
      <w:proofErr w:type="spellEnd"/>
      <w:r>
        <w:t xml:space="preserve"> asintomatico con neoplasia prostatica metastatica?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B2906" w:rsidRPr="002A2A6C" w:rsidRDefault="002B2906" w:rsidP="002B2906">
      <w:pPr>
        <w:pStyle w:val="Paragrafoelenco"/>
        <w:ind w:right="-285"/>
      </w:pPr>
    </w:p>
    <w:p w:rsidR="002B2906" w:rsidRPr="002A2A6C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 xml:space="preserve">Quale timing per monitorare/prevenire le tossicità </w:t>
      </w:r>
      <w:proofErr w:type="spellStart"/>
      <w:r>
        <w:t>immunomediate</w:t>
      </w:r>
      <w:proofErr w:type="spellEnd"/>
      <w:r>
        <w:t xml:space="preserve"> dei nuovi farmaci?         </w:t>
      </w:r>
    </w:p>
    <w:p w:rsidR="002B2906" w:rsidRPr="00722FCD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>Quale sopravvivenza si raggiunge nei pazienti con neoplasia polmonare ad istologia non-squamosa EGFR mutati trattati con la miglior sequenza di terapia?</w:t>
      </w:r>
      <w:r>
        <w:tab/>
      </w:r>
      <w:r>
        <w:tab/>
      </w:r>
      <w:r>
        <w:tab/>
        <w:t xml:space="preserve">     </w:t>
      </w:r>
    </w:p>
    <w:p w:rsidR="002B2906" w:rsidRPr="00722FCD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>“</w:t>
      </w:r>
      <w:proofErr w:type="spellStart"/>
      <w:r>
        <w:t>Hyperprogression</w:t>
      </w:r>
      <w:proofErr w:type="spellEnd"/>
      <w:r>
        <w:t>” in corso di immunoterapia. Analizzi i possibili meccanismi di insorgenza</w:t>
      </w:r>
    </w:p>
    <w:p w:rsidR="002B2906" w:rsidRPr="003443FD" w:rsidRDefault="002B2906" w:rsidP="002B2906">
      <w:pPr>
        <w:pStyle w:val="Paragrafoelenco"/>
        <w:ind w:left="9204" w:right="-285"/>
        <w:jc w:val="both"/>
        <w:rPr>
          <w:b/>
        </w:rPr>
      </w:pPr>
      <w:r>
        <w:t xml:space="preserve">     </w:t>
      </w: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 xml:space="preserve">L’avvento delle immunoterapie apre nuovi scenari di cura ma anche diverse problematiche. Quali </w:t>
      </w:r>
      <w:proofErr w:type="spellStart"/>
      <w:r>
        <w:t>comorbidità</w:t>
      </w:r>
      <w:proofErr w:type="spellEnd"/>
      <w:r>
        <w:t xml:space="preserve"> sono un criterio di esclusione del trattamento?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2B2906" w:rsidRPr="00722FCD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  <w:jc w:val="both"/>
      </w:pPr>
      <w:r>
        <w:t>Approccio multidisciplinare nel trattamento dei tumori neuroendocrini</w:t>
      </w:r>
      <w:r>
        <w:tab/>
      </w:r>
      <w:r>
        <w:tab/>
      </w:r>
      <w:r>
        <w:tab/>
        <w:t xml:space="preserve">    </w:t>
      </w:r>
    </w:p>
    <w:p w:rsidR="002B2906" w:rsidRPr="00722FCD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>Metodologia degli studi di fase II e quando non è necessario uno studio di fase III. Citi almeno due esempi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2906" w:rsidRPr="002A2A6C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>La terapia del tumore del colon adiuvante: scelte terapeutiche sulla base delle evidenze in letteratura disponibili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2906" w:rsidRPr="002A2A6C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>Terapia neoadiuvante nel tumore della mammella triplo-negativa</w:t>
      </w:r>
      <w:r>
        <w:tab/>
      </w:r>
      <w:r>
        <w:tab/>
      </w:r>
      <w:r>
        <w:tab/>
      </w:r>
      <w:r>
        <w:tab/>
      </w:r>
    </w:p>
    <w:p w:rsidR="002B2906" w:rsidRPr="002A2A6C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>Tumore del polmone e immunoterapia: attuale scenario clinico, farmaci e associazioni terapeutiche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 xml:space="preserve">Neoplasia della vescica: terapia nel </w:t>
      </w:r>
      <w:proofErr w:type="spellStart"/>
      <w:r>
        <w:t>setting</w:t>
      </w:r>
      <w:proofErr w:type="spellEnd"/>
      <w:r>
        <w:t xml:space="preserve"> neoadiuvante e metastatico</w:t>
      </w:r>
      <w:r>
        <w:tab/>
      </w:r>
      <w:r>
        <w:tab/>
      </w:r>
      <w:r>
        <w:tab/>
      </w:r>
    </w:p>
    <w:p w:rsidR="002B2906" w:rsidRPr="002A2A6C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 xml:space="preserve">Tumore neuroendocrino </w:t>
      </w:r>
      <w:proofErr w:type="spellStart"/>
      <w:r>
        <w:t>gastro-entero-pancreatico</w:t>
      </w:r>
      <w:proofErr w:type="spellEnd"/>
      <w:r>
        <w:t>: classificazione e terapia</w:t>
      </w:r>
      <w:r>
        <w:tab/>
      </w:r>
      <w:r>
        <w:tab/>
      </w:r>
    </w:p>
    <w:p w:rsidR="002B2906" w:rsidRPr="002A2A6C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 xml:space="preserve">Tumore della mammella metastatico </w:t>
      </w:r>
      <w:proofErr w:type="spellStart"/>
      <w:r>
        <w:t>Ormono-Responsivo</w:t>
      </w:r>
      <w:proofErr w:type="spellEnd"/>
      <w:r>
        <w:t xml:space="preserve"> e her-2 negativo: panorama terapeutico attuale; farmaci e possibili sequenze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2906" w:rsidRPr="002A2A6C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 xml:space="preserve">Tumore della mammella metastatico </w:t>
      </w:r>
      <w:proofErr w:type="spellStart"/>
      <w:r>
        <w:t>Her</w:t>
      </w:r>
      <w:proofErr w:type="spellEnd"/>
      <w:r>
        <w:t xml:space="preserve"> positiva: attuale scenario terapeutico</w:t>
      </w:r>
      <w:r>
        <w:tab/>
      </w:r>
      <w:r>
        <w:tab/>
      </w:r>
    </w:p>
    <w:p w:rsidR="002B2906" w:rsidRPr="002A2A6C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>Tumore del testicolo I stadio seminoma e non-seminoma: opzioni terapeutiche</w:t>
      </w:r>
      <w:r>
        <w:tab/>
      </w:r>
      <w:r>
        <w:tab/>
      </w:r>
    </w:p>
    <w:p w:rsidR="002B2906" w:rsidRPr="002A2A6C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>Tumore del polmone ALK/ROS1 traslocato: attuale scenario terapeutico, prospettive future</w:t>
      </w:r>
    </w:p>
    <w:p w:rsidR="002B2906" w:rsidRPr="002A2A6C" w:rsidRDefault="002B2906" w:rsidP="002B2906">
      <w:pPr>
        <w:pStyle w:val="Paragrafoelenco"/>
        <w:ind w:left="9204" w:right="-285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>Terapie adiuvanti nel tumore del rene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2906" w:rsidRPr="002A2A6C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2"/>
        </w:numPr>
        <w:spacing w:after="160" w:line="259" w:lineRule="auto"/>
        <w:ind w:right="-285"/>
        <w:contextualSpacing/>
      </w:pPr>
      <w:r>
        <w:t>Epatocarcinoma: attuale scenario locale e farmacologico</w:t>
      </w:r>
      <w:r>
        <w:tab/>
      </w:r>
      <w:r>
        <w:tab/>
      </w:r>
      <w:r>
        <w:tab/>
      </w:r>
      <w:r>
        <w:tab/>
      </w:r>
      <w:r>
        <w:tab/>
      </w:r>
    </w:p>
    <w:p w:rsidR="002B2906" w:rsidRPr="00DE5955" w:rsidRDefault="002B2906" w:rsidP="002B2906">
      <w:pPr>
        <w:pStyle w:val="Paragrafoelenco"/>
        <w:ind w:right="-285"/>
      </w:pPr>
    </w:p>
    <w:p w:rsidR="002B2906" w:rsidRPr="00CC6B4F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ind w:right="-285"/>
      </w:pPr>
    </w:p>
    <w:p w:rsidR="002B2906" w:rsidRDefault="002B2906" w:rsidP="002B2906">
      <w:pPr>
        <w:ind w:right="-285"/>
        <w:rPr>
          <w:b/>
        </w:rPr>
      </w:pPr>
      <w:r>
        <w:br w:type="column"/>
      </w:r>
      <w:r>
        <w:rPr>
          <w:b/>
        </w:rPr>
        <w:lastRenderedPageBreak/>
        <w:t>DOMANDE TIPO B – ORGANIZZATIVE-AMMINISTRATIVE</w:t>
      </w:r>
    </w:p>
    <w:p w:rsidR="002B2906" w:rsidRPr="00983DCC" w:rsidRDefault="002B2906" w:rsidP="002B2906">
      <w:pPr>
        <w:ind w:right="-285"/>
        <w:rPr>
          <w:b/>
        </w:rPr>
      </w:pPr>
      <w:r>
        <w:rPr>
          <w:b/>
        </w:rPr>
        <w:t>PROVA ORALE DEL 22.07.2020</w:t>
      </w:r>
    </w:p>
    <w:p w:rsidR="002B2906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Elementi fondamentali di un PDTA dei tumori della mammella</w:t>
      </w:r>
      <w:r>
        <w:tab/>
      </w:r>
      <w:r>
        <w:tab/>
      </w:r>
      <w:r>
        <w:tab/>
      </w:r>
      <w:r>
        <w:tab/>
        <w:t xml:space="preserve">     </w:t>
      </w:r>
    </w:p>
    <w:p w:rsidR="002B2906" w:rsidRDefault="002B2906" w:rsidP="002B2906">
      <w:pPr>
        <w:pStyle w:val="Paragrafoelenco"/>
        <w:ind w:right="-285"/>
        <w:jc w:val="both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Elementi fondamentali di un PDTA dei tumori polmonari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B2906" w:rsidRPr="00CC6B4F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Applicazione degli standard terapeutici e ricerca clinica: come coniugare questi due diversi aspetti nell’interesse dei pazienti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B2906" w:rsidRPr="00CC6B4F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Significato e ruolo dei registri AIFA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B2906" w:rsidRPr="00CC6B4F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 xml:space="preserve">Farmaci off </w:t>
      </w:r>
      <w:proofErr w:type="spellStart"/>
      <w:r>
        <w:t>label</w:t>
      </w:r>
      <w:proofErr w:type="spellEnd"/>
      <w:r>
        <w:t>: elementi fondamentali per l’indicazione e come formulare la richiesta</w:t>
      </w:r>
      <w:r w:rsidRPr="00E36DBD">
        <w:rPr>
          <w:b/>
        </w:rPr>
        <w:t xml:space="preserve"> </w:t>
      </w:r>
      <w:r>
        <w:rPr>
          <w:b/>
        </w:rPr>
        <w:t xml:space="preserve">    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Che cosa è una SDO?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B2906" w:rsidRPr="00E36DBD" w:rsidRDefault="002B2906" w:rsidP="002B2906">
      <w:pPr>
        <w:pStyle w:val="Paragrafoelenco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Come si valuta il peso di un DRG?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Significato dei farmaci in fascia Cnn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 xml:space="preserve">Cosa deve contenere una scheda di segnalazione di evento avverso?             </w:t>
      </w:r>
      <w:r>
        <w:tab/>
      </w:r>
      <w:r>
        <w:tab/>
        <w:t xml:space="preserve">   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PAC definizione e criteri di appropriatezza in Oncologia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Quali farmaci devono essere rendicontati in procedura file F?</w:t>
      </w:r>
      <w:r>
        <w:tab/>
      </w:r>
      <w:r>
        <w:tab/>
      </w:r>
      <w:r>
        <w:tab/>
      </w:r>
      <w:r>
        <w:tab/>
        <w:t xml:space="preserve">  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Criteri di appropriatezza per l’utilizzo di ricoveri in DH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Quali terapie possono essere somministrate con procedura ambulatoriale?</w:t>
      </w:r>
      <w:r>
        <w:tab/>
      </w:r>
      <w:r>
        <w:tab/>
        <w:t xml:space="preserve">   </w:t>
      </w:r>
    </w:p>
    <w:p w:rsidR="002B2906" w:rsidRPr="00F00218" w:rsidRDefault="002B2906" w:rsidP="002B2906">
      <w:pPr>
        <w:pStyle w:val="Paragrafoelenco"/>
      </w:pPr>
    </w:p>
    <w:p w:rsidR="002B2906" w:rsidRPr="00F00218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 w:rsidRPr="00F00218">
        <w:t>Ruolo del PDTA: obiettivi, processi e tipologia di indicatori</w:t>
      </w:r>
      <w:r w:rsidRPr="00F00218">
        <w:tab/>
      </w:r>
      <w:r w:rsidRPr="00F00218">
        <w:tab/>
      </w:r>
      <w:r w:rsidRPr="00F00218">
        <w:tab/>
      </w:r>
      <w:r w:rsidRPr="00F00218">
        <w:tab/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Consenso informato in oncologia: requisiti e modalità di somministrazione</w:t>
      </w:r>
      <w:r>
        <w:tab/>
      </w:r>
      <w:r>
        <w:tab/>
      </w:r>
      <w:r w:rsidRPr="00F00218"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Direttore Generale, ruolo e competenza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218"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Farmacoterapia in EAP e uso compassionevole: significato e differenza</w:t>
      </w:r>
      <w:r>
        <w:tab/>
      </w:r>
      <w:r>
        <w:tab/>
      </w:r>
      <w:r>
        <w:tab/>
      </w:r>
      <w:r w:rsidRPr="00F00218"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Direzione sanitaria: ruolo e competenza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218">
        <w:t xml:space="preserve">   </w:t>
      </w:r>
      <w:r>
        <w:t xml:space="preserve">         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Comitato Etico: ruolo e competenza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Certificazione di qualità: obiettivi e strumenti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218">
        <w:t xml:space="preserve">   </w:t>
      </w:r>
      <w:r>
        <w:tab/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Multidisciplinarietà in oncologia: strumenti di attività e controllo</w:t>
      </w:r>
      <w:r>
        <w:tab/>
      </w:r>
      <w:r>
        <w:tab/>
      </w:r>
      <w:r>
        <w:tab/>
      </w:r>
      <w:r>
        <w:tab/>
      </w:r>
      <w:r w:rsidRPr="00F00218"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 xml:space="preserve">Supporto </w:t>
      </w:r>
      <w:proofErr w:type="spellStart"/>
      <w:r>
        <w:t>psico-oncologico</w:t>
      </w:r>
      <w:proofErr w:type="spellEnd"/>
      <w:r>
        <w:t xml:space="preserve"> nella attività clinica quotidiana</w:t>
      </w:r>
      <w:r>
        <w:tab/>
      </w:r>
      <w:r>
        <w:tab/>
      </w:r>
      <w:r>
        <w:tab/>
      </w:r>
      <w:r>
        <w:tab/>
      </w:r>
      <w:r>
        <w:tab/>
      </w:r>
      <w:r w:rsidRPr="00F00218"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Carta dei Servizi in Oncologia: requisiti e utilizzo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218"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La diagnosi e la prognosi in oncologia: comunicazione ed informazione</w:t>
      </w:r>
      <w:r>
        <w:tab/>
      </w:r>
      <w:r>
        <w:tab/>
      </w:r>
      <w:r>
        <w:tab/>
      </w:r>
      <w:r w:rsidRPr="00F00218"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Strumenti integrativi in oncologia: scala del dolore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218"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Attività ambulatoriale: processo, strumenti, obiettivi</w:t>
      </w:r>
      <w:r>
        <w:tab/>
      </w:r>
      <w:r>
        <w:tab/>
      </w:r>
      <w:r>
        <w:tab/>
      </w:r>
      <w:r>
        <w:tab/>
      </w:r>
      <w:r>
        <w:tab/>
      </w:r>
      <w:r w:rsidRPr="00F00218">
        <w:t xml:space="preserve">   </w:t>
      </w:r>
    </w:p>
    <w:p w:rsidR="002B2906" w:rsidRPr="00C431E0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Attività di degenza: processo, strumenti e obiettivi</w:t>
      </w:r>
      <w:r>
        <w:tab/>
      </w:r>
    </w:p>
    <w:p w:rsidR="002B2906" w:rsidRDefault="002B2906" w:rsidP="002B2906">
      <w:pPr>
        <w:pStyle w:val="Paragrafoelenco"/>
        <w:spacing w:after="160" w:line="259" w:lineRule="auto"/>
        <w:ind w:left="720" w:right="-285"/>
        <w:contextualSpacing/>
        <w:jc w:val="both"/>
      </w:pPr>
    </w:p>
    <w:p w:rsidR="002B2906" w:rsidRDefault="002B2906" w:rsidP="002B2906">
      <w:pPr>
        <w:pStyle w:val="Paragrafoelenco"/>
        <w:numPr>
          <w:ilvl w:val="0"/>
          <w:numId w:val="13"/>
        </w:numPr>
        <w:spacing w:after="160" w:line="259" w:lineRule="auto"/>
        <w:ind w:right="-285"/>
        <w:contextualSpacing/>
        <w:jc w:val="both"/>
      </w:pPr>
      <w:r>
        <w:t>Attività di DH: processo, strumenti e obiettivi</w:t>
      </w:r>
    </w:p>
    <w:p w:rsidR="002B2906" w:rsidRDefault="002B2906" w:rsidP="002B2906">
      <w:pPr>
        <w:spacing w:after="160" w:line="259" w:lineRule="auto"/>
        <w:ind w:right="-285"/>
        <w:contextualSpacing/>
        <w:jc w:val="both"/>
      </w:pPr>
    </w:p>
    <w:p w:rsidR="002B2906" w:rsidRPr="003F1655" w:rsidRDefault="002B2906" w:rsidP="002B2906">
      <w:pPr>
        <w:jc w:val="both"/>
        <w:rPr>
          <w:i/>
        </w:rPr>
      </w:pPr>
      <w:r w:rsidRPr="003F1655">
        <w:rPr>
          <w:i/>
        </w:rPr>
        <w:t xml:space="preserve">(estratto verbale del </w:t>
      </w:r>
      <w:r w:rsidRPr="00B06211">
        <w:rPr>
          <w:b/>
          <w:i/>
        </w:rPr>
        <w:t>27/07/2020</w:t>
      </w:r>
      <w:r w:rsidRPr="003F1655">
        <w:rPr>
          <w:i/>
        </w:rPr>
        <w:t xml:space="preserve"> della Commissione Esaminatrice)</w:t>
      </w:r>
    </w:p>
    <w:p w:rsidR="002B2906" w:rsidRDefault="002B2906" w:rsidP="002B2906">
      <w:pPr>
        <w:jc w:val="both"/>
      </w:pPr>
      <w:proofErr w:type="spellStart"/>
      <w:r>
        <w:t>…………</w:t>
      </w:r>
      <w:proofErr w:type="spellEnd"/>
      <w:r>
        <w:t>..</w:t>
      </w:r>
    </w:p>
    <w:p w:rsidR="002B2906" w:rsidRDefault="002B2906" w:rsidP="002B2906">
      <w:pPr>
        <w:jc w:val="both"/>
      </w:pPr>
      <w:proofErr w:type="spellStart"/>
      <w:r>
        <w:t>…………</w:t>
      </w:r>
      <w:proofErr w:type="spellEnd"/>
      <w:r>
        <w:t>.</w:t>
      </w:r>
    </w:p>
    <w:p w:rsidR="002B2906" w:rsidRDefault="002B2906" w:rsidP="002B2906">
      <w:pPr>
        <w:jc w:val="both"/>
      </w:pPr>
    </w:p>
    <w:p w:rsidR="002B2906" w:rsidRDefault="002B2906" w:rsidP="002B2906">
      <w:pPr>
        <w:jc w:val="both"/>
      </w:pPr>
      <w:r>
        <w:t xml:space="preserve">..  Al fine di dar seguito ai lavori della giornata relativi allo svolgimento della II sessione della prova orale, la Commissione provvede alla formulazione di 54 domande: 27 domande di Tipo “A” </w:t>
      </w:r>
      <w:proofErr w:type="spellStart"/>
      <w:r>
        <w:t>clinico-scientifiche</w:t>
      </w:r>
      <w:proofErr w:type="spellEnd"/>
      <w:r>
        <w:t xml:space="preserve"> e 27 domande di Tipo “B” </w:t>
      </w:r>
      <w:proofErr w:type="spellStart"/>
      <w:r>
        <w:t>organizzativo-amministrative</w:t>
      </w:r>
      <w:proofErr w:type="spellEnd"/>
      <w:r>
        <w:t xml:space="preserve"> (allegate al presente verbale). Il Segretario procede a numerare dal n. 1 al n. 27 le buste contenenti n. 27 domande di Tipo “A” e n. 27 domande di Tipo “B”, predisposte e redatte dalla Commissione, e a farle siglare da un Componente della Commissione stessa.</w:t>
      </w:r>
    </w:p>
    <w:p w:rsidR="002B2906" w:rsidRDefault="002B2906" w:rsidP="002B2906">
      <w:pPr>
        <w:jc w:val="both"/>
      </w:pPr>
    </w:p>
    <w:p w:rsidR="002B2906" w:rsidRDefault="002B2906" w:rsidP="002B2906">
      <w:pPr>
        <w:spacing w:after="160" w:line="259" w:lineRule="auto"/>
        <w:ind w:right="-285"/>
        <w:contextualSpacing/>
        <w:jc w:val="both"/>
      </w:pPr>
      <w:r>
        <w:t xml:space="preserve">La Commissione stabilisce che per la valutazione del colloquio di ciascun candidato terrà conto della chiarezza espositiva, della correttezza delle risposte, </w:t>
      </w:r>
      <w:proofErr w:type="spellStart"/>
      <w:r>
        <w:t>nonchè</w:t>
      </w:r>
      <w:proofErr w:type="spellEnd"/>
      <w:r>
        <w:t xml:space="preserve"> dell’uso di linguaggio scientifico appropriato. I</w:t>
      </w:r>
      <w:r w:rsidRPr="003871B3">
        <w:t>l superamento del colloquio è subordinato al raggiungimento di una valutazione di sufficienza espressa in termini numerici di almeno 14/20.</w:t>
      </w:r>
      <w:r>
        <w:t xml:space="preserve"> ….</w:t>
      </w:r>
    </w:p>
    <w:p w:rsidR="002B2906" w:rsidRPr="005A1682" w:rsidRDefault="002B2906" w:rsidP="002B2906">
      <w:pPr>
        <w:spacing w:after="160" w:line="259" w:lineRule="auto"/>
        <w:ind w:right="-285"/>
        <w:contextualSpacing/>
        <w:jc w:val="both"/>
      </w:pPr>
    </w:p>
    <w:p w:rsidR="002B2906" w:rsidRDefault="002B2906" w:rsidP="002B2906">
      <w:pPr>
        <w:rPr>
          <w:b/>
        </w:rPr>
      </w:pPr>
      <w:r>
        <w:rPr>
          <w:b/>
        </w:rPr>
        <w:t>DOMANDE T</w:t>
      </w:r>
      <w:r w:rsidRPr="00983DCC">
        <w:rPr>
          <w:b/>
        </w:rPr>
        <w:t>IPO A</w:t>
      </w:r>
      <w:r>
        <w:rPr>
          <w:b/>
        </w:rPr>
        <w:t xml:space="preserve"> – CLINICO SCIENTIFICHE </w:t>
      </w:r>
    </w:p>
    <w:p w:rsidR="002B2906" w:rsidRPr="00983DCC" w:rsidRDefault="002B2906" w:rsidP="002B2906">
      <w:pPr>
        <w:rPr>
          <w:b/>
        </w:rPr>
      </w:pPr>
      <w:r>
        <w:rPr>
          <w:b/>
        </w:rPr>
        <w:t>PROVA ORALE DEL 27.07.2020</w:t>
      </w:r>
    </w:p>
    <w:p w:rsidR="002B2906" w:rsidRDefault="002B2906" w:rsidP="002B2906"/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 xml:space="preserve">Tumore dello stomaco: trattamento </w:t>
      </w:r>
      <w:proofErr w:type="spellStart"/>
      <w:r w:rsidRPr="0075374B">
        <w:rPr>
          <w:i/>
        </w:rPr>
        <w:t>perioperatorio</w:t>
      </w:r>
      <w:proofErr w:type="spellEnd"/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  <w:t xml:space="preserve">      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 xml:space="preserve">Trattamento del tumore gastrico </w:t>
      </w:r>
      <w:proofErr w:type="spellStart"/>
      <w:r w:rsidRPr="0075374B">
        <w:rPr>
          <w:i/>
        </w:rPr>
        <w:t>metastico</w:t>
      </w:r>
      <w:proofErr w:type="spellEnd"/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  <w:t xml:space="preserve">      </w:t>
      </w:r>
    </w:p>
    <w:p w:rsidR="002B2906" w:rsidRPr="0075374B" w:rsidRDefault="002B2906" w:rsidP="002B2906">
      <w:pPr>
        <w:pStyle w:val="Paragrafoelenco"/>
        <w:ind w:right="-285"/>
        <w:jc w:val="both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Trattamento dei sarcomi delle parti molli</w:t>
      </w:r>
    </w:p>
    <w:p w:rsidR="002B2906" w:rsidRPr="0075374B" w:rsidRDefault="002B2906" w:rsidP="002B2906">
      <w:pPr>
        <w:pStyle w:val="Paragrafoelenco"/>
        <w:ind w:right="-285"/>
        <w:jc w:val="both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 xml:space="preserve">Terapia </w:t>
      </w:r>
      <w:proofErr w:type="spellStart"/>
      <w:r w:rsidRPr="0075374B">
        <w:rPr>
          <w:i/>
        </w:rPr>
        <w:t>oligometastica</w:t>
      </w:r>
      <w:proofErr w:type="spellEnd"/>
      <w:r w:rsidRPr="0075374B">
        <w:rPr>
          <w:i/>
        </w:rPr>
        <w:t>: inquadramento e trattamento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Neoplasia ovarica: attuale scenario terapeutico nella malattia avanzata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 xml:space="preserve">Neoplasia ovarica: inibitori di PARP- scenario attuale      </w:t>
      </w:r>
    </w:p>
    <w:p w:rsidR="002B2906" w:rsidRPr="0075374B" w:rsidRDefault="002B2906" w:rsidP="002B2906">
      <w:pPr>
        <w:pStyle w:val="Paragrafoelenco"/>
        <w:ind w:right="-285"/>
        <w:jc w:val="both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b/>
          <w:i/>
        </w:rPr>
      </w:pPr>
      <w:r w:rsidRPr="0075374B">
        <w:rPr>
          <w:i/>
        </w:rPr>
        <w:t>Tumore prostatico “</w:t>
      </w:r>
      <w:proofErr w:type="spellStart"/>
      <w:r w:rsidRPr="0075374B">
        <w:rPr>
          <w:i/>
        </w:rPr>
        <w:t>castration</w:t>
      </w:r>
      <w:proofErr w:type="spellEnd"/>
      <w:r w:rsidRPr="0075374B">
        <w:rPr>
          <w:i/>
        </w:rPr>
        <w:t xml:space="preserve"> </w:t>
      </w:r>
      <w:proofErr w:type="spellStart"/>
      <w:r w:rsidRPr="0075374B">
        <w:rPr>
          <w:i/>
        </w:rPr>
        <w:t>resistant</w:t>
      </w:r>
      <w:proofErr w:type="spellEnd"/>
      <w:r w:rsidRPr="0075374B">
        <w:rPr>
          <w:i/>
        </w:rPr>
        <w:t>”: scenario terapeutico</w:t>
      </w:r>
      <w:r w:rsidRPr="0075374B">
        <w:rPr>
          <w:i/>
        </w:rPr>
        <w:tab/>
      </w:r>
      <w:r w:rsidRPr="0075374B">
        <w:rPr>
          <w:i/>
        </w:rPr>
        <w:tab/>
        <w:t xml:space="preserve">      </w:t>
      </w:r>
    </w:p>
    <w:p w:rsidR="002B2906" w:rsidRPr="0075374B" w:rsidRDefault="002B2906" w:rsidP="002B2906">
      <w:pPr>
        <w:pStyle w:val="Paragrafoelenco"/>
        <w:ind w:right="-285"/>
        <w:jc w:val="both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Trattamento di I linea nel tumore del colon metastatico</w:t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  <w:t xml:space="preserve">      </w:t>
      </w:r>
    </w:p>
    <w:p w:rsidR="002B2906" w:rsidRPr="0075374B" w:rsidRDefault="002B2906" w:rsidP="002B2906">
      <w:pPr>
        <w:pStyle w:val="Paragrafoelenco"/>
        <w:ind w:right="-285"/>
        <w:jc w:val="both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Sequenza terapeutica nel tumore del rene metastatico</w:t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b/>
          <w:i/>
        </w:rPr>
        <w:t xml:space="preserve">      </w:t>
      </w:r>
    </w:p>
    <w:p w:rsidR="002B2906" w:rsidRPr="0075374B" w:rsidRDefault="002B2906" w:rsidP="002B2906">
      <w:pPr>
        <w:pStyle w:val="Paragrafoelenco"/>
        <w:ind w:right="-285"/>
        <w:jc w:val="both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Opzioni terapeutiche nel mesotelioma pleurico</w:t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  <w:t xml:space="preserve">      </w:t>
      </w:r>
    </w:p>
    <w:p w:rsidR="002B2906" w:rsidRPr="0075374B" w:rsidRDefault="002B2906" w:rsidP="002B2906">
      <w:pPr>
        <w:pStyle w:val="Paragrafoelenco"/>
        <w:ind w:right="-285"/>
        <w:jc w:val="both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 xml:space="preserve">Terapie </w:t>
      </w:r>
      <w:proofErr w:type="spellStart"/>
      <w:r w:rsidRPr="0075374B">
        <w:rPr>
          <w:i/>
        </w:rPr>
        <w:t>metronomiche</w:t>
      </w:r>
      <w:proofErr w:type="spellEnd"/>
      <w:r w:rsidRPr="0075374B">
        <w:rPr>
          <w:i/>
        </w:rPr>
        <w:t>: indicazioni e meccanismi d’azione</w:t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</w:r>
      <w:r w:rsidRPr="0075374B">
        <w:rPr>
          <w:i/>
        </w:rPr>
        <w:tab/>
        <w:t xml:space="preserve">     </w:t>
      </w:r>
    </w:p>
    <w:p w:rsidR="002B2906" w:rsidRPr="0075374B" w:rsidRDefault="002B2906" w:rsidP="002B2906">
      <w:pPr>
        <w:pStyle w:val="Paragrafoelenco"/>
        <w:ind w:right="-285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 xml:space="preserve">Criteri di esclusione nella decisione di avviare un paziente ad un trattamento specifico         </w:t>
      </w:r>
    </w:p>
    <w:p w:rsidR="002B2906" w:rsidRPr="0075374B" w:rsidRDefault="002B2906" w:rsidP="002B2906">
      <w:pPr>
        <w:pStyle w:val="Paragrafoelenco"/>
        <w:ind w:right="-285"/>
        <w:jc w:val="both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COVID-19 e tumori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Percorso oncologico in caso di pandemia infettiva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Il trattamento di I linea nei tumori testa-collo avanzati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 xml:space="preserve">Terapie di I linea nel paziente con </w:t>
      </w:r>
      <w:proofErr w:type="spellStart"/>
      <w:r w:rsidRPr="0075374B">
        <w:rPr>
          <w:i/>
        </w:rPr>
        <w:t>riarrangiamento</w:t>
      </w:r>
      <w:proofErr w:type="spellEnd"/>
      <w:r w:rsidRPr="0075374B">
        <w:rPr>
          <w:i/>
        </w:rPr>
        <w:t xml:space="preserve"> di ALK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Criteri di scelta di trattamento nel paziente con tumore del polmone NSCLC con PDL1=20%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 xml:space="preserve">Trattamento di I linea nel </w:t>
      </w:r>
      <w:proofErr w:type="spellStart"/>
      <w:r w:rsidRPr="0075374B">
        <w:rPr>
          <w:i/>
        </w:rPr>
        <w:t>microcitoma</w:t>
      </w:r>
      <w:proofErr w:type="spellEnd"/>
      <w:r w:rsidRPr="0075374B">
        <w:rPr>
          <w:i/>
        </w:rPr>
        <w:t xml:space="preserve"> polmonare avanzato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Trattamento del tumore del testicolo “non-seminoma” metastatico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Terapia adiuvante nel melanoma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Terapia standard nel tumore dell’ano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Il trattamento del tumore del retto extraperitoneale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Tumori neuroendocrini: classificazione e trattamento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Immunoterapia nel tumore della mammella triplo negativa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Il trattamento delle metastasi ossee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 xml:space="preserve">Gli effetti collaterali degli inibitori della </w:t>
      </w:r>
      <w:proofErr w:type="spellStart"/>
      <w:r w:rsidRPr="0075374B">
        <w:rPr>
          <w:i/>
        </w:rPr>
        <w:t>aromatasi</w:t>
      </w:r>
      <w:proofErr w:type="spellEnd"/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4"/>
        </w:numPr>
        <w:spacing w:after="160" w:line="259" w:lineRule="auto"/>
        <w:ind w:left="644" w:right="-285"/>
        <w:contextualSpacing/>
        <w:jc w:val="both"/>
        <w:rPr>
          <w:i/>
        </w:rPr>
      </w:pPr>
      <w:r w:rsidRPr="0075374B">
        <w:rPr>
          <w:i/>
        </w:rPr>
        <w:t>Il trattamento medico del carcinoma mammario “in situ”</w:t>
      </w:r>
    </w:p>
    <w:p w:rsidR="002B2906" w:rsidRPr="008B40A9" w:rsidRDefault="002B2906" w:rsidP="002B2906">
      <w:pPr>
        <w:pStyle w:val="Paragrafoelenco"/>
      </w:pPr>
    </w:p>
    <w:p w:rsidR="002B2906" w:rsidRDefault="002B2906" w:rsidP="002B2906">
      <w:pPr>
        <w:pStyle w:val="Paragrafoelenco"/>
        <w:ind w:left="644" w:right="-285"/>
      </w:pPr>
      <w:r>
        <w:tab/>
      </w:r>
      <w:r>
        <w:tab/>
      </w:r>
      <w:r>
        <w:tab/>
      </w:r>
    </w:p>
    <w:p w:rsidR="002B2906" w:rsidRPr="00DE5955" w:rsidRDefault="002B2906" w:rsidP="002B2906">
      <w:pPr>
        <w:pStyle w:val="Paragrafoelenco"/>
        <w:ind w:right="-285"/>
      </w:pPr>
    </w:p>
    <w:p w:rsidR="002B2906" w:rsidRPr="00CC6B4F" w:rsidRDefault="002B2906" w:rsidP="002B2906">
      <w:pPr>
        <w:pStyle w:val="Paragrafoelenco"/>
        <w:ind w:right="-285"/>
      </w:pPr>
    </w:p>
    <w:p w:rsidR="002B2906" w:rsidRDefault="002B2906" w:rsidP="002B2906">
      <w:pPr>
        <w:pStyle w:val="Paragrafoelenco"/>
        <w:ind w:right="-285"/>
      </w:pPr>
    </w:p>
    <w:p w:rsidR="002B2906" w:rsidRDefault="002B2906" w:rsidP="002B2906">
      <w:pPr>
        <w:ind w:right="-285"/>
        <w:rPr>
          <w:b/>
        </w:rPr>
      </w:pPr>
      <w:r>
        <w:br w:type="column"/>
      </w:r>
      <w:r>
        <w:rPr>
          <w:b/>
        </w:rPr>
        <w:lastRenderedPageBreak/>
        <w:t>DOMANDE TIPO B – ORGANIZZATIVE-AMMINISTRATIVE</w:t>
      </w:r>
    </w:p>
    <w:p w:rsidR="002B2906" w:rsidRPr="00983DCC" w:rsidRDefault="002B2906" w:rsidP="002B2906">
      <w:pPr>
        <w:ind w:right="-285"/>
        <w:rPr>
          <w:b/>
        </w:rPr>
      </w:pPr>
      <w:r>
        <w:rPr>
          <w:b/>
        </w:rPr>
        <w:t>PROVA ORALE DEL 27.07.2020</w:t>
      </w:r>
    </w:p>
    <w:p w:rsidR="002B2906" w:rsidRDefault="002B2906" w:rsidP="002B2906">
      <w:pPr>
        <w:pStyle w:val="Paragrafoelenco"/>
        <w:ind w:right="-285"/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Caratteristiche di una sperimentazione clinica</w:t>
      </w:r>
    </w:p>
    <w:p w:rsidR="002B2906" w:rsidRPr="0075374B" w:rsidRDefault="002B2906" w:rsidP="002B2906">
      <w:pPr>
        <w:pStyle w:val="Paragrafoelenco"/>
        <w:ind w:right="-285"/>
        <w:jc w:val="both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 xml:space="preserve">Farmaci “off </w:t>
      </w:r>
      <w:proofErr w:type="spellStart"/>
      <w:r w:rsidRPr="0075374B">
        <w:rPr>
          <w:i/>
        </w:rPr>
        <w:t>label</w:t>
      </w:r>
      <w:proofErr w:type="spellEnd"/>
      <w:r w:rsidRPr="0075374B">
        <w:rPr>
          <w:i/>
        </w:rPr>
        <w:t>”: indicazione e richiesta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Cartella clinica elettronica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Test geriatrici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Percorso preparazione farmaci antiblastici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Criteri di valutazione dei dirigenti di I livello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Indici di valorizzazione di performance individuali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Elementi fondamentali di un PDTA dei tumori del colon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Elementi fondamentali di un PDTA del tumore della prostata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 xml:space="preserve">Elementi di differenziazione tra Terapia Ambulatoriale e in regime di </w:t>
      </w:r>
      <w:proofErr w:type="spellStart"/>
      <w:r w:rsidRPr="0075374B">
        <w:rPr>
          <w:i/>
        </w:rPr>
        <w:t>Day</w:t>
      </w:r>
      <w:proofErr w:type="spellEnd"/>
      <w:r w:rsidRPr="0075374B">
        <w:rPr>
          <w:i/>
        </w:rPr>
        <w:t xml:space="preserve"> Hospital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Organigramma di un’Azienda Ospedaliera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Significato e ruolo del registro AIFA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Organizzazione del team multidisciplinare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Quali elementi e dati deve contenere un consenso informato di Oncologia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Ruolo del Case Manager in un PDTA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Ruolo del Data Manager in una Unità Operativa Complessa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Cosa è un atto deliberativo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Ruolo del Capo Dipartimento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Ruolo dell’URP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Certificazione di Qualità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Ruolo degli IRCSS nel SSN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Medicina territoriale in Oncologia: necessità di una revisione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Ruolo delle Cure Simultanee in Oncologia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lastRenderedPageBreak/>
        <w:t>Ruolo del Medico di Medicina Generale in Oncologia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Presa in carico del paziente in Assistenza Domiciliare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</w:rPr>
        <w:t>Reti Oncologiche Regionali</w:t>
      </w:r>
    </w:p>
    <w:p w:rsidR="002B2906" w:rsidRPr="0075374B" w:rsidRDefault="002B2906" w:rsidP="002B2906">
      <w:pPr>
        <w:pStyle w:val="Paragrafoelenco"/>
        <w:rPr>
          <w:i/>
        </w:rPr>
      </w:pPr>
    </w:p>
    <w:p w:rsidR="002B2906" w:rsidRPr="0075374B" w:rsidRDefault="002B2906" w:rsidP="002B2906">
      <w:pPr>
        <w:pStyle w:val="Paragrafoelenco"/>
        <w:numPr>
          <w:ilvl w:val="0"/>
          <w:numId w:val="15"/>
        </w:numPr>
        <w:spacing w:after="160" w:line="259" w:lineRule="auto"/>
        <w:ind w:left="360" w:right="-285"/>
        <w:contextualSpacing/>
        <w:jc w:val="both"/>
        <w:rPr>
          <w:i/>
        </w:rPr>
      </w:pPr>
      <w:r w:rsidRPr="0075374B">
        <w:rPr>
          <w:i/>
          <w:color w:val="000000"/>
        </w:rPr>
        <w:t xml:space="preserve">Presa in carico del paziente in </w:t>
      </w:r>
      <w:proofErr w:type="spellStart"/>
      <w:r w:rsidRPr="0075374B">
        <w:rPr>
          <w:i/>
          <w:color w:val="000000"/>
        </w:rPr>
        <w:t>Hospice</w:t>
      </w:r>
      <w:proofErr w:type="spellEnd"/>
      <w:r w:rsidRPr="0075374B">
        <w:rPr>
          <w:i/>
          <w:color w:val="000000"/>
        </w:rPr>
        <w:t xml:space="preserve"> Residenziale</w:t>
      </w:r>
    </w:p>
    <w:p w:rsidR="0070702B" w:rsidRDefault="0070702B"/>
    <w:sectPr w:rsidR="0070702B" w:rsidSect="00E06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E1F"/>
    <w:multiLevelType w:val="hybridMultilevel"/>
    <w:tmpl w:val="6F2A1DB6"/>
    <w:lvl w:ilvl="0" w:tplc="40C0513A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29BD"/>
    <w:multiLevelType w:val="hybridMultilevel"/>
    <w:tmpl w:val="BEE61B2C"/>
    <w:lvl w:ilvl="0" w:tplc="E11A2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140"/>
    <w:multiLevelType w:val="hybridMultilevel"/>
    <w:tmpl w:val="A5C0202A"/>
    <w:lvl w:ilvl="0" w:tplc="F752B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2644"/>
    <w:multiLevelType w:val="hybridMultilevel"/>
    <w:tmpl w:val="4DAA051E"/>
    <w:lvl w:ilvl="0" w:tplc="B0762B94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1E82F62"/>
    <w:multiLevelType w:val="hybridMultilevel"/>
    <w:tmpl w:val="77FEC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2FC"/>
    <w:multiLevelType w:val="hybridMultilevel"/>
    <w:tmpl w:val="77FEC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A1BB2"/>
    <w:multiLevelType w:val="hybridMultilevel"/>
    <w:tmpl w:val="261A12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24D8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6213"/>
    <w:multiLevelType w:val="hybridMultilevel"/>
    <w:tmpl w:val="8E2E161E"/>
    <w:lvl w:ilvl="0" w:tplc="FC46B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0521C"/>
    <w:multiLevelType w:val="hybridMultilevel"/>
    <w:tmpl w:val="608446D6"/>
    <w:lvl w:ilvl="0" w:tplc="62664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A569E"/>
    <w:multiLevelType w:val="hybridMultilevel"/>
    <w:tmpl w:val="7E2AB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6664F"/>
    <w:multiLevelType w:val="hybridMultilevel"/>
    <w:tmpl w:val="CB5E7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E53"/>
    <w:multiLevelType w:val="hybridMultilevel"/>
    <w:tmpl w:val="124AE3FE"/>
    <w:lvl w:ilvl="0" w:tplc="ED068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37E7F"/>
    <w:multiLevelType w:val="hybridMultilevel"/>
    <w:tmpl w:val="836C49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04A4E"/>
    <w:multiLevelType w:val="hybridMultilevel"/>
    <w:tmpl w:val="EA8ECFCA"/>
    <w:lvl w:ilvl="0" w:tplc="FC46BBB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78B7B1D"/>
    <w:multiLevelType w:val="hybridMultilevel"/>
    <w:tmpl w:val="26587D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702B"/>
    <w:rsid w:val="002B2906"/>
    <w:rsid w:val="002C5AE4"/>
    <w:rsid w:val="003F1655"/>
    <w:rsid w:val="003F5F2D"/>
    <w:rsid w:val="0047730B"/>
    <w:rsid w:val="0070702B"/>
    <w:rsid w:val="00931E2A"/>
    <w:rsid w:val="0095207F"/>
    <w:rsid w:val="00B06211"/>
    <w:rsid w:val="00E0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7730B"/>
    <w:pPr>
      <w:keepNext/>
      <w:jc w:val="both"/>
      <w:outlineLvl w:val="0"/>
    </w:pPr>
    <w:rPr>
      <w:i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702B"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0702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0702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2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7730B"/>
    <w:rPr>
      <w:rFonts w:ascii="Times New Roman" w:eastAsia="Times New Roman" w:hAnsi="Times New Roman" w:cs="Times New Roman"/>
      <w:i/>
      <w:sz w:val="28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3</cp:revision>
  <cp:lastPrinted>2020-08-28T06:07:00Z</cp:lastPrinted>
  <dcterms:created xsi:type="dcterms:W3CDTF">2020-08-31T08:52:00Z</dcterms:created>
  <dcterms:modified xsi:type="dcterms:W3CDTF">2020-08-31T08:54:00Z</dcterms:modified>
</cp:coreProperties>
</file>