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F817FC" w:rsidRPr="00F817FC">
        <w:rPr>
          <w:b/>
        </w:rPr>
        <w:t>8</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F817FC" w:rsidRPr="00F817FC">
        <w:t>tipologia B</w:t>
      </w:r>
      <w:r w:rsidR="00B73988" w:rsidRPr="00F817FC">
        <w:t>,</w:t>
      </w:r>
      <w:r w:rsidR="00A677C0" w:rsidRPr="00F817FC">
        <w:t xml:space="preserve"> nell’ambito del</w:t>
      </w:r>
      <w:r w:rsidR="00BB161E" w:rsidRPr="00F817FC">
        <w:t xml:space="preserve"> progetto di ricerca dal titolo</w:t>
      </w:r>
      <w:r w:rsidR="00BB161E" w:rsidRPr="00F817FC">
        <w:rPr>
          <w:rFonts w:asciiTheme="majorHAnsi" w:hAnsiTheme="majorHAnsi"/>
          <w:sz w:val="22"/>
          <w:szCs w:val="22"/>
        </w:rPr>
        <w:t xml:space="preserve">: </w:t>
      </w:r>
      <w:r w:rsidR="00BB161E" w:rsidRPr="00F817FC">
        <w:rPr>
          <w:rFonts w:asciiTheme="majorHAnsi" w:hAnsiTheme="majorHAnsi"/>
          <w:i/>
          <w:sz w:val="22"/>
          <w:szCs w:val="22"/>
        </w:rPr>
        <w:t>“</w:t>
      </w:r>
      <w:r w:rsidR="00FF3C96">
        <w:rPr>
          <w:rFonts w:asciiTheme="majorHAnsi" w:hAnsiTheme="majorHAnsi"/>
          <w:i/>
          <w:sz w:val="22"/>
          <w:szCs w:val="22"/>
        </w:rPr>
        <w:t xml:space="preserve">TARPEA-Valutazione tridimensionale della tossicità da inibitori delle </w:t>
      </w:r>
      <w:proofErr w:type="spellStart"/>
      <w:r w:rsidR="00FF3C96">
        <w:rPr>
          <w:rFonts w:asciiTheme="majorHAnsi" w:hAnsiTheme="majorHAnsi"/>
          <w:i/>
          <w:sz w:val="22"/>
          <w:szCs w:val="22"/>
        </w:rPr>
        <w:t>aromatasi</w:t>
      </w:r>
      <w:proofErr w:type="spellEnd"/>
      <w:r w:rsidR="00FF3C96">
        <w:rPr>
          <w:rFonts w:asciiTheme="majorHAnsi" w:hAnsiTheme="majorHAnsi"/>
          <w:i/>
          <w:sz w:val="22"/>
          <w:szCs w:val="22"/>
        </w:rPr>
        <w:t xml:space="preserve"> in donne affette da carcinoma mammario in fase precoce: attesa, rilevata, percepita</w:t>
      </w:r>
      <w:r w:rsidR="00BB161E" w:rsidRPr="00F817FC">
        <w:rPr>
          <w:rFonts w:asciiTheme="majorHAnsi" w:hAnsiTheme="majorHAnsi"/>
          <w:i/>
          <w:sz w:val="22"/>
          <w:szCs w:val="22"/>
        </w:rPr>
        <w:t>”</w:t>
      </w:r>
      <w:r w:rsidR="002C1907" w:rsidRPr="00F817FC">
        <w:rPr>
          <w:rFonts w:asciiTheme="majorHAnsi" w:hAnsiTheme="majorHAnsi"/>
          <w:sz w:val="22"/>
          <w:szCs w:val="22"/>
        </w:rPr>
        <w:t xml:space="preserve">, </w:t>
      </w:r>
      <w:r w:rsidR="00592D3E" w:rsidRPr="00F817FC">
        <w:rPr>
          <w:i/>
        </w:rPr>
        <w:t xml:space="preserve"> </w:t>
      </w:r>
      <w:r w:rsidR="007526E9" w:rsidRPr="00F817FC">
        <w:t xml:space="preserve">sul fondo </w:t>
      </w:r>
      <w:proofErr w:type="spellStart"/>
      <w:r w:rsidR="00FF3C96">
        <w:t>Cod</w:t>
      </w:r>
      <w:proofErr w:type="spellEnd"/>
      <w:r w:rsidR="00FF3C96">
        <w:t xml:space="preserve"> IFO 13/RS/477 ad esaurimento e la restante parte sul fondo IFO 20/09/R/44 dei quali</w:t>
      </w:r>
      <w:r w:rsidR="00AB1B5A" w:rsidRPr="00F817FC">
        <w:t xml:space="preserve"> è</w:t>
      </w:r>
      <w:r w:rsidR="002C1907" w:rsidRPr="00F817FC">
        <w:t xml:space="preserve"> </w:t>
      </w:r>
      <w:r w:rsidR="00CA260E" w:rsidRPr="00F817FC">
        <w:t>responsabile</w:t>
      </w:r>
      <w:r w:rsidR="00E10542" w:rsidRPr="00F817FC">
        <w:t xml:space="preserve"> </w:t>
      </w:r>
      <w:r w:rsidR="00FF3C96">
        <w:rPr>
          <w:rFonts w:asciiTheme="majorHAnsi" w:hAnsiTheme="majorHAnsi"/>
          <w:sz w:val="22"/>
          <w:szCs w:val="22"/>
        </w:rPr>
        <w:t xml:space="preserve">la Dr.ssa Alessandra </w:t>
      </w:r>
      <w:proofErr w:type="spellStart"/>
      <w:r w:rsidR="00FF3C96">
        <w:rPr>
          <w:rFonts w:asciiTheme="majorHAnsi" w:hAnsiTheme="majorHAnsi"/>
          <w:sz w:val="22"/>
          <w:szCs w:val="22"/>
        </w:rPr>
        <w:t>Fabi</w:t>
      </w:r>
      <w:proofErr w:type="spellEnd"/>
      <w:r w:rsidR="00FF3C96">
        <w:rPr>
          <w:rFonts w:asciiTheme="majorHAnsi" w:hAnsiTheme="majorHAnsi"/>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FF3C96" w:rsidRDefault="00A677C0" w:rsidP="00AD5387">
      <w:pPr>
        <w:pStyle w:val="Paragrafoelenco"/>
        <w:spacing w:line="360" w:lineRule="auto"/>
        <w:ind w:left="0"/>
        <w:contextualSpacing/>
      </w:pPr>
      <w:r w:rsidRPr="009307A7">
        <w:rPr>
          <w:b/>
        </w:rPr>
        <w:t>Attività da svolgere</w:t>
      </w:r>
      <w:bookmarkStart w:id="0" w:name="_GoBack"/>
      <w:r w:rsidRPr="009307A7">
        <w:rPr>
          <w:b/>
        </w:rPr>
        <w:t>:</w:t>
      </w:r>
      <w:r w:rsidR="00A11505" w:rsidRPr="009307A7">
        <w:rPr>
          <w:b/>
        </w:rPr>
        <w:t xml:space="preserve"> </w:t>
      </w:r>
      <w:r w:rsidR="00FF3C96">
        <w:t>Attività clinica: accoglienza pazienti IRE, somministrazione strumenti psicologici: Attività organizzativa: referente organizzativo per i centri coinvolti, attività di data manager, raccolta ed inserimento dati, management andamento dello studio.</w:t>
      </w:r>
    </w:p>
    <w:p w:rsidR="002C1907" w:rsidRPr="009307A7" w:rsidRDefault="002C1907" w:rsidP="00AD5387">
      <w:pPr>
        <w:pStyle w:val="Paragrafoelenco"/>
        <w:spacing w:line="360" w:lineRule="auto"/>
        <w:ind w:left="0"/>
        <w:contextualSpacing/>
        <w:rPr>
          <w:rFonts w:asciiTheme="majorHAnsi" w:hAnsiTheme="majorHAnsi"/>
          <w:sz w:val="22"/>
          <w:szCs w:val="22"/>
        </w:rPr>
      </w:pPr>
    </w:p>
    <w:bookmarkEnd w:id="0"/>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CE1DFA">
        <w:t>18.000,00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606F89" w:rsidRPr="00C90E47" w:rsidRDefault="00CE1DFA" w:rsidP="005355F3">
      <w:pPr>
        <w:spacing w:line="360" w:lineRule="auto"/>
        <w:ind w:left="-851" w:firstLine="851"/>
        <w:rPr>
          <w:color w:val="FF0000"/>
        </w:rPr>
      </w:pPr>
      <w:r>
        <w:t>Laurea quinquennale in Psicologia.</w:t>
      </w:r>
    </w:p>
    <w:p w:rsidR="00CE1DFA" w:rsidRP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CE1DFA" w:rsidRPr="00CE1DFA">
        <w:t>esperienza documentata presso un servizio di psicologia clinica in ambito oncologico; formazione al lavoro in equipe interdisciplinare in oncologia; esperienza nella somministrazione e nella siglatura di questionari di utilizzo in ambito oncologico, gestione database.</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103778">
        <w:t>Psicologia</w:t>
      </w:r>
      <w:r w:rsidR="009307A7" w:rsidRPr="00C90E47">
        <w:t xml:space="preserve"> sotto la supervisione della Dr.ssa </w:t>
      </w:r>
      <w:r w:rsidR="00103778">
        <w:t xml:space="preserve">Patrizia Pugliese e della Dr.ssa Maria Cecilia Cercato </w:t>
      </w:r>
      <w:r w:rsidR="00545036" w:rsidRPr="00C90E47">
        <w:t>per</w:t>
      </w:r>
      <w:r w:rsidRPr="00C90E47">
        <w:t xml:space="preserve"> tut</w:t>
      </w:r>
      <w:r w:rsidR="004C593F" w:rsidRPr="00C90E47">
        <w:t>ta la durata del godimento della borsa medesima</w:t>
      </w:r>
      <w:r w:rsidRPr="00C90E47">
        <w:t xml:space="preserve">. </w:t>
      </w:r>
    </w:p>
    <w:p w:rsidR="003E1154" w:rsidRPr="00C90E47" w:rsidRDefault="003E1154" w:rsidP="00C82CEF">
      <w:pPr>
        <w:spacing w:line="360" w:lineRule="auto"/>
        <w:jc w:val="both"/>
      </w:pPr>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lastRenderedPageBreak/>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0A01FD" w:rsidRDefault="00BB161E" w:rsidP="00677053">
      <w:pPr>
        <w:spacing w:line="276" w:lineRule="auto"/>
        <w:ind w:left="5664" w:firstLine="708"/>
        <w:jc w:val="both"/>
      </w:pPr>
      <w:r w:rsidRPr="000A01FD">
        <w:t>Firma Dirigente UO</w:t>
      </w:r>
      <w:r>
        <w:t>SD</w:t>
      </w:r>
      <w:r w:rsidRPr="000A01FD">
        <w:t xml:space="preserve"> SAR</w:t>
      </w:r>
    </w:p>
    <w:p w:rsidR="00BB161E" w:rsidRDefault="00BB161E" w:rsidP="00677053">
      <w:pPr>
        <w:spacing w:line="276" w:lineRule="auto"/>
        <w:ind w:left="5664" w:firstLine="708"/>
        <w:jc w:val="both"/>
      </w:pPr>
      <w: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3E1154">
        <w:rPr>
          <w:b/>
        </w:rPr>
        <w:t xml:space="preserve"> 01/03/2021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3E1154">
        <w:rPr>
          <w:b/>
        </w:rPr>
        <w:t xml:space="preserve"> 16/03/2021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606F89"/>
    <w:rsid w:val="006210CD"/>
    <w:rsid w:val="00622538"/>
    <w:rsid w:val="00676BC5"/>
    <w:rsid w:val="00677053"/>
    <w:rsid w:val="006B5BE3"/>
    <w:rsid w:val="006C088C"/>
    <w:rsid w:val="006C37C4"/>
    <w:rsid w:val="006D5C0F"/>
    <w:rsid w:val="0071459E"/>
    <w:rsid w:val="007526E9"/>
    <w:rsid w:val="00761771"/>
    <w:rsid w:val="007726C3"/>
    <w:rsid w:val="0079663C"/>
    <w:rsid w:val="007B1287"/>
    <w:rsid w:val="007B20CB"/>
    <w:rsid w:val="007C1F2D"/>
    <w:rsid w:val="007C3DB2"/>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D5387"/>
    <w:rsid w:val="00AF0273"/>
    <w:rsid w:val="00B027AA"/>
    <w:rsid w:val="00B232DC"/>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D1EE6"/>
    <w:rsid w:val="00DE6334"/>
    <w:rsid w:val="00DE7E84"/>
    <w:rsid w:val="00DF3AF4"/>
    <w:rsid w:val="00E10542"/>
    <w:rsid w:val="00E44FC4"/>
    <w:rsid w:val="00E6488A"/>
    <w:rsid w:val="00E7717D"/>
    <w:rsid w:val="00EE610C"/>
    <w:rsid w:val="00F00F81"/>
    <w:rsid w:val="00F06FBC"/>
    <w:rsid w:val="00F16EA5"/>
    <w:rsid w:val="00F20C7D"/>
    <w:rsid w:val="00F247B2"/>
    <w:rsid w:val="00F2576D"/>
    <w:rsid w:val="00F30767"/>
    <w:rsid w:val="00F4408C"/>
    <w:rsid w:val="00F54920"/>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34405-7C53-44D9-82EE-E0DFF90A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Pages>
  <Words>2173</Words>
  <Characters>12389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62</cp:revision>
  <cp:lastPrinted>2021-03-01T09:54:00Z</cp:lastPrinted>
  <dcterms:created xsi:type="dcterms:W3CDTF">2018-01-08T11:49:00Z</dcterms:created>
  <dcterms:modified xsi:type="dcterms:W3CDTF">2021-03-01T09:56:00Z</dcterms:modified>
</cp:coreProperties>
</file>