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26" w:rsidRDefault="008C6E2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8C6E26" w:rsidRDefault="008C6E2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8C6E26" w:rsidRDefault="008C6E2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8C6E26" w:rsidRDefault="008C6E2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8C6E26" w:rsidRDefault="008C6E2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B075E6" w:rsidRPr="00B075E6" w:rsidRDefault="00B075E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B075E6"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  <w:t>Sinistrosità e risarcimenti erogati nell’ultimo quinquennio (art. 4, c. 3 della L. 24/2017) </w:t>
      </w:r>
    </w:p>
    <w:tbl>
      <w:tblPr>
        <w:tblW w:w="97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275"/>
        <w:gridCol w:w="1625"/>
        <w:gridCol w:w="5941"/>
      </w:tblGrid>
      <w:tr w:rsidR="00B075E6" w:rsidRPr="00B075E6" w:rsidTr="00B075E6">
        <w:trPr>
          <w:trHeight w:val="1187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Anno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N. Sinistri aperti</w:t>
            </w: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it-IT"/>
              </w:rPr>
              <w:t>(A)</w:t>
            </w: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N. Sinistri liquidati</w:t>
            </w: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it-IT"/>
              </w:rPr>
              <w:t>(A)</w:t>
            </w: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ind w:right="4345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Risarcimenti erogati</w:t>
            </w: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it-IT"/>
              </w:rPr>
              <w:t>(A)</w:t>
            </w:r>
          </w:p>
        </w:tc>
      </w:tr>
      <w:tr w:rsidR="00B075E6" w:rsidRPr="00B075E6" w:rsidTr="00B075E6">
        <w:trPr>
          <w:trHeight w:val="3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18 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17 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ind w:right="4345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€1.782.250,92</w:t>
            </w:r>
          </w:p>
        </w:tc>
      </w:tr>
      <w:tr w:rsidR="00B075E6" w:rsidRPr="00B075E6" w:rsidTr="00B075E6">
        <w:trPr>
          <w:trHeight w:val="3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2018 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20 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9 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ind w:right="4345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 xml:space="preserve">€   </w:t>
            </w: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795.500</w:t>
            </w:r>
            <w:r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,00</w:t>
            </w:r>
          </w:p>
        </w:tc>
      </w:tr>
      <w:tr w:rsidR="00B075E6" w:rsidRPr="00B075E6" w:rsidTr="00B075E6">
        <w:trPr>
          <w:trHeight w:val="3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54 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17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ind w:right="4345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€1.163.439,90</w:t>
            </w:r>
          </w:p>
        </w:tc>
      </w:tr>
      <w:tr w:rsidR="00B075E6" w:rsidRPr="00B075E6" w:rsidTr="00B075E6">
        <w:trPr>
          <w:trHeight w:val="3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25 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14 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ind w:right="4345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 xml:space="preserve">€   </w:t>
            </w: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574.135,50</w:t>
            </w:r>
          </w:p>
        </w:tc>
      </w:tr>
      <w:tr w:rsidR="00B075E6" w:rsidRPr="00B075E6" w:rsidTr="00B075E6">
        <w:trPr>
          <w:trHeight w:val="3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15 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ind w:right="4345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€1.473.028,10</w:t>
            </w:r>
          </w:p>
        </w:tc>
      </w:tr>
      <w:tr w:rsidR="00B075E6" w:rsidRPr="00B075E6" w:rsidTr="00B075E6">
        <w:trPr>
          <w:trHeight w:val="3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Totale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131 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85701E" w:rsidP="00B0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72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5E6" w:rsidRPr="00B075E6" w:rsidRDefault="00B075E6" w:rsidP="00B075E6">
            <w:pPr>
              <w:spacing w:after="0" w:line="240" w:lineRule="auto"/>
              <w:ind w:right="4345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€</w:t>
            </w:r>
            <w:r w:rsidRPr="00B075E6"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it-IT"/>
              </w:rPr>
              <w:t>5.788.354,42</w:t>
            </w:r>
          </w:p>
        </w:tc>
      </w:tr>
    </w:tbl>
    <w:p w:rsidR="00B075E6" w:rsidRPr="00B075E6" w:rsidRDefault="00B075E6" w:rsidP="00B075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075E6" w:rsidRPr="00B075E6" w:rsidRDefault="00B075E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B075E6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it-IT"/>
        </w:rPr>
        <w:t>Fonte dati U.O.C.  Affari Generali periodo di riferimento anno 2021.</w:t>
      </w:r>
    </w:p>
    <w:p w:rsidR="00B075E6" w:rsidRPr="00B075E6" w:rsidRDefault="00B075E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B075E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it-IT"/>
        </w:rPr>
        <w:t>(A): sono riportati solo i sinistri e i risarcimenti relativi al rischio clinico, escludendo quelli riferiti a danni di altra natura (ad esempio smarrimento effetti personali, danni a cose, ecc.)</w:t>
      </w:r>
    </w:p>
    <w:p w:rsidR="00B075E6" w:rsidRDefault="00B075E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it-IT"/>
        </w:rPr>
      </w:pPr>
      <w:r w:rsidRPr="00B075E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it-IT"/>
        </w:rPr>
        <w:br/>
      </w:r>
    </w:p>
    <w:p w:rsidR="00B075E6" w:rsidRPr="00B075E6" w:rsidRDefault="00B075E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B075E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La tabella riporta per ciascun anno il numero dei sinistri attivati (nuovi sinistri), ossia quelli riferiti a nuove richieste di risarcimento dei danni notificate nell'anno corrente. Riguardo agli importi dei risarcimenti erogati nel quinquennio, si sottolinea che gli importi sono riportati con "criterio di cassa", poiché i pagamenti relativi alla maggior parte dei sinistri si riferiscono a richieste di risarcimento notificate all'Ente in anni precedenti. Per tale ragione, con riferimento ai singoli anni, non vi è alcuna relazione tra il numero dei sinistri riportati nella tabella e gli importi erogati. </w:t>
      </w:r>
    </w:p>
    <w:p w:rsidR="00B075E6" w:rsidRPr="00B075E6" w:rsidRDefault="00B075E6" w:rsidP="00B075E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B075E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Va, inoltre, precisato che gli importi pagati non possono essere considerati tutti definitivi, non potendosi escludere che quelli relativi a sinistri per i quali vi è stata sentenza esecutiva, possano in tutto o in parte essere recuperati a seguito di sentenze di appello favorevoli all'Ente.</w:t>
      </w:r>
    </w:p>
    <w:p w:rsidR="00B075E6" w:rsidRPr="00B075E6" w:rsidRDefault="00B075E6" w:rsidP="00B075E6">
      <w:pPr>
        <w:shd w:val="clear" w:color="auto" w:fill="FFFFFF"/>
        <w:spacing w:after="0" w:line="240" w:lineRule="auto"/>
        <w:ind w:left="576"/>
        <w:textAlignment w:val="baseline"/>
        <w:outlineLvl w:val="1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B075E6" w:rsidRDefault="00B075E6" w:rsidP="00B075E6">
      <w:pPr>
        <w:shd w:val="clear" w:color="auto" w:fill="FFFFFF"/>
        <w:spacing w:after="0" w:line="240" w:lineRule="auto"/>
        <w:ind w:left="576"/>
        <w:textAlignment w:val="baseline"/>
        <w:outlineLvl w:val="1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B075E6" w:rsidRDefault="00B075E6" w:rsidP="00B075E6">
      <w:pPr>
        <w:shd w:val="clear" w:color="auto" w:fill="FFFFFF"/>
        <w:spacing w:after="0" w:line="240" w:lineRule="auto"/>
        <w:ind w:left="576"/>
        <w:textAlignment w:val="baseline"/>
        <w:outlineLvl w:val="1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B075E6" w:rsidRDefault="00B075E6" w:rsidP="00B075E6">
      <w:pPr>
        <w:shd w:val="clear" w:color="auto" w:fill="FFFFFF"/>
        <w:spacing w:after="0" w:line="240" w:lineRule="auto"/>
        <w:ind w:left="576"/>
        <w:textAlignment w:val="baseline"/>
        <w:outlineLvl w:val="1"/>
        <w:rPr>
          <w:rFonts w:ascii="inherit" w:eastAsia="Times New Roman" w:hAnsi="inherit" w:cs="Calibri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it-IT"/>
        </w:rPr>
      </w:pPr>
    </w:p>
    <w:p w:rsidR="00B075E6" w:rsidRDefault="00B075E6"/>
    <w:p w:rsidR="00B075E6" w:rsidRDefault="00B075E6"/>
    <w:p w:rsidR="00B075E6" w:rsidRDefault="00B075E6"/>
    <w:p w:rsidR="00B075E6" w:rsidRDefault="00B075E6"/>
    <w:p w:rsidR="00B075E6" w:rsidRDefault="00B075E6"/>
    <w:p w:rsidR="00B075E6" w:rsidRDefault="00B075E6"/>
    <w:p w:rsidR="00B075E6" w:rsidRDefault="00B075E6">
      <w:bookmarkStart w:id="0" w:name="_GoBack"/>
      <w:bookmarkEnd w:id="0"/>
    </w:p>
    <w:p w:rsidR="00B075E6" w:rsidRDefault="00B075E6"/>
    <w:sectPr w:rsidR="00B075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93" w:rsidRDefault="00B54993" w:rsidP="008C6E26">
      <w:pPr>
        <w:spacing w:after="0" w:line="240" w:lineRule="auto"/>
      </w:pPr>
      <w:r>
        <w:separator/>
      </w:r>
    </w:p>
  </w:endnote>
  <w:endnote w:type="continuationSeparator" w:id="0">
    <w:p w:rsidR="00B54993" w:rsidRDefault="00B54993" w:rsidP="008C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93" w:rsidRDefault="00B54993" w:rsidP="008C6E26">
      <w:pPr>
        <w:spacing w:after="0" w:line="240" w:lineRule="auto"/>
      </w:pPr>
      <w:r>
        <w:separator/>
      </w:r>
    </w:p>
  </w:footnote>
  <w:footnote w:type="continuationSeparator" w:id="0">
    <w:p w:rsidR="00B54993" w:rsidRDefault="00B54993" w:rsidP="008C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6" w:rsidRDefault="008C6E26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619240" cy="49530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49530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9BBD0" id="Gruppo 5" o:spid="_x0000_s1026" style="position:absolute;margin-left:0;margin-top:-3.9pt;width:521.2pt;height:39pt;z-index:251658240;mso-position-horizontal:center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a77dpYoDAAD9CgAADgAAAAAAAAAAAAAAAAA6&#10;AgAAZHJzL2Uyb0RvYy54bWxQSwECLQAUAAYACAAAACEALmzwAMUAAAClAQAAGQAAAAAAAAAAAAAA&#10;AADwBQAAZHJzL19yZWxzL2Uyb0RvYy54bWwucmVsc1BLAQItABQABgAIAAAAIQC9HeXl3gAAAAcB&#10;AAAPAAAAAAAAAAAAAAAAAOw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E6"/>
    <w:rsid w:val="0085701E"/>
    <w:rsid w:val="008B17CC"/>
    <w:rsid w:val="008C6E26"/>
    <w:rsid w:val="00B075E6"/>
    <w:rsid w:val="00B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F61E"/>
  <w15:chartTrackingRefBased/>
  <w15:docId w15:val="{8EE94963-8AB1-4620-9212-8800E9D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26"/>
  </w:style>
  <w:style w:type="paragraph" w:styleId="Pidipagina">
    <w:name w:val="footer"/>
    <w:basedOn w:val="Normale"/>
    <w:link w:val="PidipaginaCarattere"/>
    <w:uiPriority w:val="99"/>
    <w:unhideWhenUsed/>
    <w:rsid w:val="008C6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ALLOCCA ELEONORA</dc:creator>
  <cp:keywords/>
  <dc:description/>
  <cp:lastModifiedBy>ALLOCCA ELEONORA</cp:lastModifiedBy>
  <cp:revision>3</cp:revision>
  <dcterms:created xsi:type="dcterms:W3CDTF">2022-03-02T11:41:00Z</dcterms:created>
  <dcterms:modified xsi:type="dcterms:W3CDTF">2022-03-02T11:49:00Z</dcterms:modified>
</cp:coreProperties>
</file>