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9E1" w:rsidRPr="0032716F" w:rsidRDefault="002369E1" w:rsidP="0032716F">
      <w:pPr>
        <w:spacing w:line="276" w:lineRule="auto"/>
        <w:jc w:val="left"/>
        <w:rPr>
          <w:rFonts w:ascii="Times New Roman" w:hAnsi="Times New Roman"/>
          <w:b/>
          <w:u w:val="single"/>
        </w:rPr>
      </w:pPr>
      <w:r w:rsidRPr="0032716F">
        <w:rPr>
          <w:rFonts w:ascii="Times New Roman" w:hAnsi="Times New Roman"/>
          <w:b/>
          <w:u w:val="single"/>
        </w:rPr>
        <w:t>Allegato 2</w:t>
      </w:r>
    </w:p>
    <w:p w:rsidR="002369E1" w:rsidRPr="0032716F" w:rsidRDefault="002369E1" w:rsidP="0032716F">
      <w:pPr>
        <w:spacing w:line="276" w:lineRule="auto"/>
        <w:jc w:val="center"/>
        <w:rPr>
          <w:rFonts w:ascii="Times New Roman" w:hAnsi="Times New Roman"/>
          <w:b/>
        </w:rPr>
      </w:pPr>
    </w:p>
    <w:p w:rsidR="002369E1" w:rsidRPr="0032716F" w:rsidRDefault="002369E1" w:rsidP="0032716F">
      <w:pPr>
        <w:spacing w:line="276" w:lineRule="auto"/>
        <w:jc w:val="center"/>
        <w:rPr>
          <w:rFonts w:ascii="Times New Roman" w:hAnsi="Times New Roman"/>
          <w:b/>
        </w:rPr>
      </w:pPr>
      <w:r w:rsidRPr="0032716F">
        <w:rPr>
          <w:rFonts w:ascii="Times New Roman" w:hAnsi="Times New Roman"/>
          <w:b/>
        </w:rPr>
        <w:t xml:space="preserve">Aggiornamento tecnologico del sistema di Risonanza Magnetica 3T di </w:t>
      </w:r>
      <w:proofErr w:type="spellStart"/>
      <w:r w:rsidRPr="0032716F">
        <w:rPr>
          <w:rFonts w:ascii="Times New Roman" w:hAnsi="Times New Roman"/>
          <w:b/>
        </w:rPr>
        <w:t>Ge</w:t>
      </w:r>
      <w:proofErr w:type="spellEnd"/>
      <w:r w:rsidRPr="0032716F">
        <w:rPr>
          <w:rFonts w:ascii="Times New Roman" w:hAnsi="Times New Roman"/>
          <w:b/>
        </w:rPr>
        <w:t xml:space="preserve"> </w:t>
      </w:r>
      <w:proofErr w:type="spellStart"/>
      <w:r w:rsidRPr="0032716F">
        <w:rPr>
          <w:rFonts w:ascii="Times New Roman" w:hAnsi="Times New Roman"/>
          <w:b/>
        </w:rPr>
        <w:t>Heatlhcare</w:t>
      </w:r>
      <w:proofErr w:type="spellEnd"/>
      <w:r w:rsidRPr="0032716F">
        <w:rPr>
          <w:rFonts w:ascii="Times New Roman" w:hAnsi="Times New Roman"/>
          <w:b/>
        </w:rPr>
        <w:t xml:space="preserve"> modello </w:t>
      </w:r>
      <w:proofErr w:type="spellStart"/>
      <w:r w:rsidRPr="0032716F">
        <w:rPr>
          <w:rFonts w:ascii="Times New Roman" w:hAnsi="Times New Roman"/>
          <w:b/>
        </w:rPr>
        <w:t>Discovery</w:t>
      </w:r>
      <w:proofErr w:type="spellEnd"/>
      <w:r w:rsidRPr="0032716F">
        <w:rPr>
          <w:rFonts w:ascii="Times New Roman" w:hAnsi="Times New Roman"/>
          <w:b/>
        </w:rPr>
        <w:t xml:space="preserve"> MR 750W installata presso UOC Radiologia e Diagnostica per immagini IRE degli IFO.</w:t>
      </w:r>
    </w:p>
    <w:p w:rsidR="00810240" w:rsidRPr="0032716F" w:rsidRDefault="00810240" w:rsidP="0032716F">
      <w:pPr>
        <w:spacing w:before="240" w:line="276" w:lineRule="auto"/>
        <w:rPr>
          <w:rFonts w:ascii="Times New Roman" w:eastAsia="Times New Roman" w:hAnsi="Times New Roman"/>
          <w:b/>
          <w:i/>
        </w:rPr>
      </w:pPr>
      <w:r w:rsidRPr="0032716F">
        <w:rPr>
          <w:rFonts w:ascii="Times New Roman" w:eastAsia="Times New Roman" w:hAnsi="Times New Roman"/>
          <w:b/>
          <w:i/>
        </w:rPr>
        <w:t>Finalità del servizio</w:t>
      </w:r>
    </w:p>
    <w:p w:rsidR="0056503E" w:rsidRPr="00812138" w:rsidRDefault="0056503E" w:rsidP="0032716F">
      <w:pPr>
        <w:spacing w:before="240" w:line="276" w:lineRule="auto"/>
        <w:rPr>
          <w:rFonts w:ascii="Times New Roman" w:eastAsia="Times New Roman" w:hAnsi="Times New Roman"/>
        </w:rPr>
      </w:pPr>
      <w:r w:rsidRPr="0032716F">
        <w:rPr>
          <w:rFonts w:ascii="Times New Roman" w:eastAsia="Times New Roman" w:hAnsi="Times New Roman"/>
        </w:rPr>
        <w:t>Mediante l’</w:t>
      </w:r>
      <w:proofErr w:type="spellStart"/>
      <w:r w:rsidRPr="0032716F">
        <w:rPr>
          <w:rFonts w:ascii="Times New Roman" w:eastAsia="Times New Roman" w:hAnsi="Times New Roman"/>
        </w:rPr>
        <w:t>aggiornabilit</w:t>
      </w:r>
      <w:r w:rsidR="00285AEA">
        <w:rPr>
          <w:rFonts w:ascii="Times New Roman" w:eastAsia="Times New Roman" w:hAnsi="Times New Roman"/>
        </w:rPr>
        <w:t>à</w:t>
      </w:r>
      <w:proofErr w:type="spellEnd"/>
      <w:r w:rsidR="00285AEA">
        <w:rPr>
          <w:rFonts w:ascii="Times New Roman" w:eastAsia="Times New Roman" w:hAnsi="Times New Roman"/>
        </w:rPr>
        <w:t xml:space="preserve"> </w:t>
      </w:r>
      <w:r w:rsidRPr="0032716F">
        <w:rPr>
          <w:rFonts w:ascii="Times New Roman" w:eastAsia="Times New Roman" w:hAnsi="Times New Roman"/>
        </w:rPr>
        <w:t xml:space="preserve">del sistema di Risonanza Magnetica 3T gli Istituti intendono perseguire il </w:t>
      </w:r>
      <w:r w:rsidRPr="00812138">
        <w:rPr>
          <w:rFonts w:ascii="Times New Roman" w:eastAsia="Times New Roman" w:hAnsi="Times New Roman"/>
        </w:rPr>
        <w:t>mantenimento di un elevato standard clinico diagnostico nonché la possibilità di avviare nuove ricerche che potranno avere un significativo impatto nella pratica clinica valorizzando l’</w:t>
      </w:r>
      <w:proofErr w:type="spellStart"/>
      <w:r w:rsidRPr="00812138">
        <w:rPr>
          <w:rFonts w:ascii="Times New Roman" w:eastAsia="Times New Roman" w:hAnsi="Times New Roman"/>
        </w:rPr>
        <w:t>asset</w:t>
      </w:r>
      <w:proofErr w:type="spellEnd"/>
      <w:r w:rsidRPr="00812138">
        <w:rPr>
          <w:rFonts w:ascii="Times New Roman" w:eastAsia="Times New Roman" w:hAnsi="Times New Roman"/>
        </w:rPr>
        <w:t xml:space="preserve"> aziendale attualmente in uso</w:t>
      </w:r>
      <w:r w:rsidR="00EA68F2" w:rsidRPr="00812138">
        <w:rPr>
          <w:rFonts w:ascii="Times New Roman" w:eastAsia="Times New Roman" w:hAnsi="Times New Roman"/>
        </w:rPr>
        <w:t xml:space="preserve">, </w:t>
      </w:r>
      <w:r w:rsidRPr="00812138">
        <w:rPr>
          <w:rFonts w:ascii="Times New Roman" w:eastAsia="Times New Roman" w:hAnsi="Times New Roman"/>
        </w:rPr>
        <w:t>portandolo allo stato dell’arte.</w:t>
      </w:r>
    </w:p>
    <w:p w:rsidR="00AF6034" w:rsidRPr="00812138" w:rsidRDefault="00AF6034" w:rsidP="0032716F">
      <w:pPr>
        <w:spacing w:before="240" w:line="276" w:lineRule="auto"/>
        <w:rPr>
          <w:rFonts w:ascii="Times New Roman" w:eastAsia="Times New Roman" w:hAnsi="Times New Roman"/>
        </w:rPr>
      </w:pPr>
      <w:r w:rsidRPr="00812138">
        <w:rPr>
          <w:rFonts w:ascii="Times New Roman" w:eastAsia="Times New Roman" w:hAnsi="Times New Roman"/>
        </w:rPr>
        <w:t>Si specifica che il servizio richiesto comprende l’upgrade del sistema ovvero</w:t>
      </w:r>
      <w:bookmarkStart w:id="0" w:name="_GoBack"/>
      <w:bookmarkEnd w:id="0"/>
      <w:r w:rsidRPr="00812138">
        <w:rPr>
          <w:rFonts w:ascii="Times New Roman" w:eastAsia="Times New Roman" w:hAnsi="Times New Roman"/>
        </w:rPr>
        <w:t xml:space="preserve"> la sua sostituzione, comprensiva di tutte le lavorazioni necessarie per la corretta installazione del sistema (consegna chiavi in mano).</w:t>
      </w:r>
    </w:p>
    <w:p w:rsidR="0056503E" w:rsidRPr="0032716F" w:rsidRDefault="0056503E" w:rsidP="0032716F">
      <w:pPr>
        <w:spacing w:before="240" w:line="276" w:lineRule="auto"/>
        <w:rPr>
          <w:rFonts w:ascii="Times New Roman" w:eastAsia="Times New Roman" w:hAnsi="Times New Roman"/>
        </w:rPr>
      </w:pPr>
      <w:r w:rsidRPr="00812138">
        <w:rPr>
          <w:rFonts w:ascii="Times New Roman" w:eastAsia="Times New Roman" w:hAnsi="Times New Roman"/>
        </w:rPr>
        <w:t>La possibilità di conservare l’attuale</w:t>
      </w:r>
      <w:r w:rsidRPr="0032716F">
        <w:rPr>
          <w:rFonts w:ascii="Times New Roman" w:eastAsia="Times New Roman" w:hAnsi="Times New Roman"/>
        </w:rPr>
        <w:t xml:space="preserve"> magnete 3T è da considerarsi preferenziale per il minor impatto delle lavorazioni che ne conseguono. Tuttavia, anche nel caso di nuova installazione ovvero sostituzione dell’intero sistema, è richiesto il mantenimento del layout attuale nel posizionamento dell’apparecchiatura. In ogni caso lo smontaggio e il ritiro delle parti del sistema che verranno cambiate o di tutta l’apparecchiatura nel caso di sostituzione, dovranno essere a totale carico del fornitore che ne acquisirà la proprietà a tutti gli effetti.</w:t>
      </w:r>
      <w:r w:rsidR="00122EFF">
        <w:rPr>
          <w:rFonts w:ascii="Times New Roman" w:eastAsia="Times New Roman" w:hAnsi="Times New Roman"/>
        </w:rPr>
        <w:t xml:space="preserve"> </w:t>
      </w:r>
    </w:p>
    <w:p w:rsidR="00810240" w:rsidRPr="0032716F" w:rsidRDefault="00810240" w:rsidP="0032716F">
      <w:pPr>
        <w:spacing w:before="240" w:line="276" w:lineRule="auto"/>
        <w:rPr>
          <w:rFonts w:ascii="Times New Roman" w:eastAsia="Times New Roman" w:hAnsi="Times New Roman"/>
          <w:b/>
          <w:i/>
        </w:rPr>
      </w:pPr>
      <w:r w:rsidRPr="0032716F">
        <w:rPr>
          <w:rFonts w:ascii="Times New Roman" w:eastAsia="Times New Roman" w:hAnsi="Times New Roman"/>
          <w:b/>
          <w:i/>
        </w:rPr>
        <w:t>Caratteristiche richieste</w:t>
      </w:r>
    </w:p>
    <w:p w:rsidR="0056503E" w:rsidRDefault="0056503E" w:rsidP="0032716F">
      <w:pPr>
        <w:spacing w:before="240" w:line="276" w:lineRule="auto"/>
        <w:rPr>
          <w:rFonts w:ascii="Times New Roman" w:eastAsia="Times New Roman" w:hAnsi="Times New Roman"/>
        </w:rPr>
      </w:pPr>
      <w:r w:rsidRPr="0032716F">
        <w:rPr>
          <w:rFonts w:ascii="Times New Roman" w:eastAsia="Times New Roman" w:hAnsi="Times New Roman"/>
        </w:rPr>
        <w:t>La soluzione proposta dovrà garantire le seguenti prestazioni:</w:t>
      </w:r>
    </w:p>
    <w:p w:rsidR="007D08FC" w:rsidRPr="007D08FC" w:rsidRDefault="007D08FC" w:rsidP="007D08FC">
      <w:pPr>
        <w:pStyle w:val="Paragrafoelenco"/>
        <w:numPr>
          <w:ilvl w:val="0"/>
          <w:numId w:val="1"/>
        </w:numPr>
        <w:spacing w:before="240" w:line="276" w:lineRule="auto"/>
        <w:rPr>
          <w:rFonts w:ascii="Times New Roman" w:eastAsia="Times New Roman" w:hAnsi="Times New Roman"/>
        </w:rPr>
      </w:pPr>
      <w:r>
        <w:rPr>
          <w:rFonts w:ascii="Times New Roman" w:eastAsia="Times New Roman" w:hAnsi="Times New Roman"/>
        </w:rPr>
        <w:t>Diametro del tunnel pari a 70 cm (caratteristica già presente sull’attuale sistema)</w:t>
      </w:r>
    </w:p>
    <w:p w:rsidR="0056503E" w:rsidRPr="0032716F" w:rsidRDefault="0056503E" w:rsidP="0032716F">
      <w:pPr>
        <w:numPr>
          <w:ilvl w:val="0"/>
          <w:numId w:val="1"/>
        </w:numPr>
        <w:spacing w:before="240" w:line="276" w:lineRule="auto"/>
        <w:rPr>
          <w:rFonts w:ascii="Times New Roman" w:eastAsia="Times New Roman" w:hAnsi="Times New Roman"/>
        </w:rPr>
      </w:pPr>
      <w:r w:rsidRPr="0032716F">
        <w:rPr>
          <w:rFonts w:ascii="Times New Roman" w:eastAsia="Times New Roman" w:hAnsi="Times New Roman"/>
        </w:rPr>
        <w:t xml:space="preserve">Sistema a ridotto consumo di elio (zero </w:t>
      </w:r>
      <w:proofErr w:type="spellStart"/>
      <w:r w:rsidRPr="0032716F">
        <w:rPr>
          <w:rFonts w:ascii="Times New Roman" w:eastAsia="Times New Roman" w:hAnsi="Times New Roman"/>
        </w:rPr>
        <w:t>boil</w:t>
      </w:r>
      <w:proofErr w:type="spellEnd"/>
      <w:r w:rsidRPr="0032716F">
        <w:rPr>
          <w:rFonts w:ascii="Times New Roman" w:eastAsia="Times New Roman" w:hAnsi="Times New Roman"/>
        </w:rPr>
        <w:t>-off)</w:t>
      </w:r>
    </w:p>
    <w:p w:rsidR="0056503E" w:rsidRPr="0032716F" w:rsidRDefault="0056503E" w:rsidP="00222DF8">
      <w:pPr>
        <w:numPr>
          <w:ilvl w:val="0"/>
          <w:numId w:val="1"/>
        </w:numPr>
        <w:spacing w:before="240" w:line="276" w:lineRule="auto"/>
        <w:rPr>
          <w:rFonts w:ascii="Times New Roman" w:eastAsia="Times New Roman" w:hAnsi="Times New Roman"/>
        </w:rPr>
      </w:pPr>
      <w:r w:rsidRPr="0032716F">
        <w:rPr>
          <w:rFonts w:ascii="Times New Roman" w:eastAsia="Times New Roman" w:hAnsi="Times New Roman"/>
        </w:rPr>
        <w:t xml:space="preserve">Tecnologia di gradiente con intensità di picco ≥ 80 </w:t>
      </w:r>
      <w:proofErr w:type="spellStart"/>
      <w:r w:rsidRPr="0032716F">
        <w:rPr>
          <w:rFonts w:ascii="Times New Roman" w:eastAsia="Times New Roman" w:hAnsi="Times New Roman"/>
        </w:rPr>
        <w:t>mT</w:t>
      </w:r>
      <w:proofErr w:type="spellEnd"/>
      <w:r w:rsidRPr="0032716F">
        <w:rPr>
          <w:rFonts w:ascii="Times New Roman" w:eastAsia="Times New Roman" w:hAnsi="Times New Roman"/>
        </w:rPr>
        <w:t xml:space="preserve">/m e </w:t>
      </w:r>
      <w:proofErr w:type="spellStart"/>
      <w:r w:rsidRPr="0032716F">
        <w:rPr>
          <w:rFonts w:ascii="Times New Roman" w:eastAsia="Times New Roman" w:hAnsi="Times New Roman"/>
        </w:rPr>
        <w:t>slew</w:t>
      </w:r>
      <w:proofErr w:type="spellEnd"/>
      <w:r w:rsidRPr="0032716F">
        <w:rPr>
          <w:rFonts w:ascii="Times New Roman" w:eastAsia="Times New Roman" w:hAnsi="Times New Roman"/>
        </w:rPr>
        <w:t xml:space="preserve"> rate ≥ 200 </w:t>
      </w:r>
      <w:proofErr w:type="spellStart"/>
      <w:r w:rsidRPr="0032716F">
        <w:rPr>
          <w:rFonts w:ascii="Times New Roman" w:eastAsia="Times New Roman" w:hAnsi="Times New Roman"/>
        </w:rPr>
        <w:t>mT</w:t>
      </w:r>
      <w:proofErr w:type="spellEnd"/>
      <w:r w:rsidRPr="0032716F">
        <w:rPr>
          <w:rFonts w:ascii="Times New Roman" w:eastAsia="Times New Roman" w:hAnsi="Times New Roman"/>
        </w:rPr>
        <w:t>/m/</w:t>
      </w:r>
      <w:proofErr w:type="spellStart"/>
      <w:r w:rsidRPr="0032716F">
        <w:rPr>
          <w:rFonts w:ascii="Times New Roman" w:eastAsia="Times New Roman" w:hAnsi="Times New Roman"/>
        </w:rPr>
        <w:t>ms</w:t>
      </w:r>
      <w:proofErr w:type="spellEnd"/>
      <w:r w:rsidR="007D08FC">
        <w:rPr>
          <w:rFonts w:ascii="Times New Roman" w:eastAsia="Times New Roman" w:hAnsi="Times New Roman"/>
        </w:rPr>
        <w:t xml:space="preserve"> per singolo asse (</w:t>
      </w:r>
      <w:proofErr w:type="spellStart"/>
      <w:proofErr w:type="gramStart"/>
      <w:r w:rsidR="007D08FC">
        <w:rPr>
          <w:rFonts w:ascii="Times New Roman" w:eastAsia="Times New Roman" w:hAnsi="Times New Roman"/>
        </w:rPr>
        <w:t>x,y</w:t>
      </w:r>
      <w:proofErr w:type="gramEnd"/>
      <w:r w:rsidR="007D08FC">
        <w:rPr>
          <w:rFonts w:ascii="Times New Roman" w:eastAsia="Times New Roman" w:hAnsi="Times New Roman"/>
        </w:rPr>
        <w:t>,z</w:t>
      </w:r>
      <w:proofErr w:type="spellEnd"/>
      <w:r w:rsidR="007D08FC">
        <w:rPr>
          <w:rFonts w:ascii="Times New Roman" w:eastAsia="Times New Roman" w:hAnsi="Times New Roman"/>
        </w:rPr>
        <w:t>)</w:t>
      </w:r>
      <w:r w:rsidRPr="0032716F">
        <w:rPr>
          <w:rFonts w:ascii="Times New Roman" w:eastAsia="Times New Roman" w:hAnsi="Times New Roman"/>
        </w:rPr>
        <w:t xml:space="preserve">; tale sistema deve consentire l’esecuzione di attività di ricerca neuro avanzata ottenendo studi di </w:t>
      </w:r>
      <w:proofErr w:type="spellStart"/>
      <w:r w:rsidRPr="0032716F">
        <w:rPr>
          <w:rFonts w:ascii="Times New Roman" w:eastAsia="Times New Roman" w:hAnsi="Times New Roman"/>
        </w:rPr>
        <w:t>trattografia</w:t>
      </w:r>
      <w:proofErr w:type="spellEnd"/>
      <w:r w:rsidRPr="0032716F">
        <w:rPr>
          <w:rFonts w:ascii="Times New Roman" w:eastAsia="Times New Roman" w:hAnsi="Times New Roman"/>
        </w:rPr>
        <w:t xml:space="preserve"> (DTI) avanzata per meglio valutare i rapporti tra tumori e fasci di fibre particolarmente importante nel planning </w:t>
      </w:r>
      <w:proofErr w:type="spellStart"/>
      <w:r w:rsidRPr="0032716F">
        <w:rPr>
          <w:rFonts w:ascii="Times New Roman" w:eastAsia="Times New Roman" w:hAnsi="Times New Roman"/>
        </w:rPr>
        <w:t>pre</w:t>
      </w:r>
      <w:proofErr w:type="spellEnd"/>
      <w:r w:rsidRPr="0032716F">
        <w:rPr>
          <w:rFonts w:ascii="Times New Roman" w:eastAsia="Times New Roman" w:hAnsi="Times New Roman"/>
        </w:rPr>
        <w:t>-operatorio, con la possibilità di estendere lo studio anche ai nervi cranici o a quelli del plesso per le neoplasie della prostata;</w:t>
      </w:r>
    </w:p>
    <w:p w:rsidR="0056503E" w:rsidRPr="0032716F" w:rsidRDefault="0056503E" w:rsidP="00222DF8">
      <w:pPr>
        <w:numPr>
          <w:ilvl w:val="0"/>
          <w:numId w:val="1"/>
        </w:numPr>
        <w:spacing w:before="240" w:line="276" w:lineRule="auto"/>
        <w:rPr>
          <w:rFonts w:ascii="Times New Roman" w:eastAsia="Times New Roman" w:hAnsi="Times New Roman"/>
        </w:rPr>
      </w:pPr>
      <w:r w:rsidRPr="0032716F">
        <w:rPr>
          <w:rFonts w:ascii="Times New Roman" w:eastAsia="Times New Roman" w:hAnsi="Times New Roman"/>
        </w:rPr>
        <w:t>Catena di radiofrequenza completamente digitale che arrivi a 146 canali indipendenti</w:t>
      </w:r>
      <w:r w:rsidR="007D08FC">
        <w:rPr>
          <w:rFonts w:ascii="Times New Roman" w:eastAsia="Times New Roman" w:hAnsi="Times New Roman"/>
        </w:rPr>
        <w:t xml:space="preserve"> (146 ADC)</w:t>
      </w:r>
      <w:r w:rsidRPr="0032716F">
        <w:rPr>
          <w:rFonts w:ascii="Times New Roman" w:eastAsia="Times New Roman" w:hAnsi="Times New Roman"/>
        </w:rPr>
        <w:t>;</w:t>
      </w:r>
    </w:p>
    <w:p w:rsidR="0056503E" w:rsidRPr="0032716F" w:rsidRDefault="0056503E" w:rsidP="00222DF8">
      <w:pPr>
        <w:numPr>
          <w:ilvl w:val="0"/>
          <w:numId w:val="1"/>
        </w:numPr>
        <w:spacing w:before="240" w:line="276" w:lineRule="auto"/>
        <w:rPr>
          <w:rFonts w:ascii="Times New Roman" w:eastAsia="Times New Roman" w:hAnsi="Times New Roman"/>
        </w:rPr>
      </w:pPr>
      <w:r w:rsidRPr="0032716F">
        <w:rPr>
          <w:rFonts w:ascii="Times New Roman" w:eastAsia="Times New Roman" w:hAnsi="Times New Roman"/>
        </w:rPr>
        <w:t>Controllo del SAR in acquisizione;</w:t>
      </w:r>
    </w:p>
    <w:p w:rsidR="0056503E" w:rsidRPr="0032716F" w:rsidRDefault="0056503E" w:rsidP="00222DF8">
      <w:pPr>
        <w:numPr>
          <w:ilvl w:val="0"/>
          <w:numId w:val="1"/>
        </w:numPr>
        <w:spacing w:before="240" w:line="276" w:lineRule="auto"/>
        <w:rPr>
          <w:rFonts w:ascii="Times New Roman" w:eastAsia="Times New Roman" w:hAnsi="Times New Roman"/>
        </w:rPr>
      </w:pPr>
      <w:r w:rsidRPr="0032716F">
        <w:rPr>
          <w:rFonts w:ascii="Times New Roman" w:eastAsia="Times New Roman" w:hAnsi="Times New Roman"/>
        </w:rPr>
        <w:t>Sistemi di riduzione del rumore acustico;</w:t>
      </w:r>
    </w:p>
    <w:p w:rsidR="0056503E" w:rsidRPr="0032716F" w:rsidRDefault="0056503E" w:rsidP="00222DF8">
      <w:pPr>
        <w:numPr>
          <w:ilvl w:val="0"/>
          <w:numId w:val="1"/>
        </w:numPr>
        <w:spacing w:before="240" w:line="276" w:lineRule="auto"/>
        <w:rPr>
          <w:rFonts w:ascii="Times New Roman" w:eastAsia="Times New Roman" w:hAnsi="Times New Roman"/>
        </w:rPr>
      </w:pPr>
      <w:r w:rsidRPr="0032716F">
        <w:rPr>
          <w:rFonts w:ascii="Times New Roman" w:eastAsia="Times New Roman" w:hAnsi="Times New Roman"/>
        </w:rPr>
        <w:lastRenderedPageBreak/>
        <w:t xml:space="preserve"> Sistemi di compensazione automatica dell’omogeneità del campo (</w:t>
      </w:r>
      <w:proofErr w:type="spellStart"/>
      <w:r w:rsidRPr="0032716F">
        <w:rPr>
          <w:rFonts w:ascii="Times New Roman" w:eastAsia="Times New Roman" w:hAnsi="Times New Roman"/>
        </w:rPr>
        <w:t>shimming</w:t>
      </w:r>
      <w:proofErr w:type="spellEnd"/>
      <w:r w:rsidRPr="0032716F">
        <w:rPr>
          <w:rFonts w:ascii="Times New Roman" w:eastAsia="Times New Roman" w:hAnsi="Times New Roman"/>
        </w:rPr>
        <w:t xml:space="preserve">) </w:t>
      </w:r>
      <w:r w:rsidR="00580E52">
        <w:rPr>
          <w:rFonts w:ascii="Times New Roman" w:eastAsia="Times New Roman" w:hAnsi="Times New Roman"/>
        </w:rPr>
        <w:t xml:space="preserve">di tipo high </w:t>
      </w:r>
      <w:proofErr w:type="spellStart"/>
      <w:r w:rsidR="00580E52">
        <w:rPr>
          <w:rFonts w:ascii="Times New Roman" w:eastAsia="Times New Roman" w:hAnsi="Times New Roman"/>
        </w:rPr>
        <w:t>order</w:t>
      </w:r>
      <w:proofErr w:type="spellEnd"/>
      <w:r w:rsidRPr="0032716F">
        <w:rPr>
          <w:rFonts w:ascii="Times New Roman" w:eastAsia="Times New Roman" w:hAnsi="Times New Roman"/>
        </w:rPr>
        <w:t xml:space="preserve"> per studi di spettroscopia avanzata;</w:t>
      </w:r>
    </w:p>
    <w:p w:rsidR="00F12FED" w:rsidRPr="0032716F" w:rsidRDefault="00F12FED" w:rsidP="00222DF8">
      <w:pPr>
        <w:numPr>
          <w:ilvl w:val="0"/>
          <w:numId w:val="1"/>
        </w:numPr>
        <w:spacing w:before="240" w:line="276" w:lineRule="auto"/>
        <w:rPr>
          <w:rFonts w:ascii="Times New Roman" w:eastAsia="Times New Roman" w:hAnsi="Times New Roman"/>
        </w:rPr>
      </w:pPr>
      <w:r w:rsidRPr="0032716F">
        <w:rPr>
          <w:rFonts w:ascii="Times New Roman" w:eastAsia="Times New Roman" w:hAnsi="Times New Roman"/>
        </w:rPr>
        <w:t>Spessore minimo di strato pari a 0.1 mm (2D e 3D);</w:t>
      </w:r>
    </w:p>
    <w:p w:rsidR="0056503E" w:rsidRPr="0032716F" w:rsidRDefault="0056503E" w:rsidP="00222DF8">
      <w:pPr>
        <w:numPr>
          <w:ilvl w:val="0"/>
          <w:numId w:val="1"/>
        </w:numPr>
        <w:spacing w:before="240" w:line="276" w:lineRule="auto"/>
        <w:rPr>
          <w:rFonts w:ascii="Times New Roman" w:eastAsia="Times New Roman" w:hAnsi="Times New Roman"/>
        </w:rPr>
      </w:pPr>
      <w:r w:rsidRPr="0032716F">
        <w:rPr>
          <w:rFonts w:ascii="Times New Roman" w:eastAsia="Times New Roman" w:hAnsi="Times New Roman"/>
        </w:rPr>
        <w:t xml:space="preserve">Set di bobine flessibili </w:t>
      </w:r>
      <w:proofErr w:type="spellStart"/>
      <w:r w:rsidRPr="0032716F">
        <w:rPr>
          <w:rFonts w:ascii="Times New Roman" w:eastAsia="Times New Roman" w:hAnsi="Times New Roman"/>
        </w:rPr>
        <w:t>phased</w:t>
      </w:r>
      <w:proofErr w:type="spellEnd"/>
      <w:r w:rsidRPr="0032716F">
        <w:rPr>
          <w:rFonts w:ascii="Times New Roman" w:eastAsia="Times New Roman" w:hAnsi="Times New Roman"/>
        </w:rPr>
        <w:t xml:space="preserve"> array ad alto numero di canali (almeno 16 e possibilmente 20) </w:t>
      </w:r>
      <w:r w:rsidR="00CC762C" w:rsidRPr="0032716F">
        <w:rPr>
          <w:rFonts w:ascii="Times New Roman" w:eastAsia="Times New Roman" w:hAnsi="Times New Roman"/>
        </w:rPr>
        <w:t>di peso contenuto</w:t>
      </w:r>
      <w:r w:rsidR="003C3B7A">
        <w:rPr>
          <w:rFonts w:ascii="Times New Roman" w:eastAsia="Times New Roman" w:hAnsi="Times New Roman"/>
        </w:rPr>
        <w:t>,</w:t>
      </w:r>
      <w:r w:rsidR="00CC762C" w:rsidRPr="0032716F">
        <w:rPr>
          <w:rFonts w:ascii="Times New Roman" w:eastAsia="Times New Roman" w:hAnsi="Times New Roman"/>
        </w:rPr>
        <w:t xml:space="preserve"> </w:t>
      </w:r>
      <w:r w:rsidR="00484BFB" w:rsidRPr="0032716F">
        <w:rPr>
          <w:rFonts w:ascii="Times New Roman" w:eastAsia="Times New Roman" w:hAnsi="Times New Roman"/>
        </w:rPr>
        <w:t>che garantisc</w:t>
      </w:r>
      <w:r w:rsidR="00CC762C" w:rsidRPr="0032716F">
        <w:rPr>
          <w:rFonts w:ascii="Times New Roman" w:eastAsia="Times New Roman" w:hAnsi="Times New Roman"/>
        </w:rPr>
        <w:t>ano elevato comfort al paziente;</w:t>
      </w:r>
    </w:p>
    <w:p w:rsidR="0056503E" w:rsidRPr="0032716F" w:rsidRDefault="0056503E" w:rsidP="00222DF8">
      <w:pPr>
        <w:numPr>
          <w:ilvl w:val="0"/>
          <w:numId w:val="1"/>
        </w:numPr>
        <w:spacing w:before="240" w:line="276" w:lineRule="auto"/>
        <w:rPr>
          <w:rFonts w:ascii="Times New Roman" w:eastAsia="Times New Roman" w:hAnsi="Times New Roman"/>
        </w:rPr>
      </w:pPr>
      <w:r w:rsidRPr="0032716F">
        <w:rPr>
          <w:rFonts w:ascii="Times New Roman" w:eastAsia="Times New Roman" w:hAnsi="Times New Roman"/>
        </w:rPr>
        <w:t>Bobina encefalo con almeno 48 canali;</w:t>
      </w:r>
    </w:p>
    <w:p w:rsidR="0056503E" w:rsidRPr="0032716F" w:rsidRDefault="0056503E" w:rsidP="00222DF8">
      <w:pPr>
        <w:numPr>
          <w:ilvl w:val="0"/>
          <w:numId w:val="1"/>
        </w:numPr>
        <w:spacing w:before="240" w:line="276" w:lineRule="auto"/>
        <w:rPr>
          <w:rFonts w:ascii="Times New Roman" w:eastAsia="Times New Roman" w:hAnsi="Times New Roman"/>
        </w:rPr>
      </w:pPr>
      <w:r w:rsidRPr="0032716F">
        <w:rPr>
          <w:rFonts w:ascii="Times New Roman" w:eastAsia="Times New Roman" w:hAnsi="Times New Roman"/>
        </w:rPr>
        <w:t>Bobina body (anteriore);</w:t>
      </w:r>
    </w:p>
    <w:p w:rsidR="0056503E" w:rsidRPr="0032716F" w:rsidRDefault="0056503E" w:rsidP="00222DF8">
      <w:pPr>
        <w:numPr>
          <w:ilvl w:val="0"/>
          <w:numId w:val="1"/>
        </w:numPr>
        <w:spacing w:before="240" w:line="276" w:lineRule="auto"/>
        <w:rPr>
          <w:rFonts w:ascii="Times New Roman" w:eastAsia="Times New Roman" w:hAnsi="Times New Roman"/>
        </w:rPr>
      </w:pPr>
      <w:r w:rsidRPr="0032716F">
        <w:rPr>
          <w:rFonts w:ascii="Times New Roman" w:eastAsia="Times New Roman" w:hAnsi="Times New Roman"/>
        </w:rPr>
        <w:t>Pannello di controllo interno;</w:t>
      </w:r>
    </w:p>
    <w:p w:rsidR="000D3BF7" w:rsidRDefault="000D3BF7" w:rsidP="00222DF8">
      <w:pPr>
        <w:numPr>
          <w:ilvl w:val="0"/>
          <w:numId w:val="1"/>
        </w:numPr>
        <w:spacing w:before="240" w:line="276" w:lineRule="auto"/>
        <w:rPr>
          <w:rFonts w:ascii="Times New Roman" w:eastAsia="Times New Roman" w:hAnsi="Times New Roman"/>
        </w:rPr>
      </w:pPr>
      <w:r w:rsidRPr="0032716F">
        <w:rPr>
          <w:rFonts w:ascii="Times New Roman" w:eastAsia="Times New Roman" w:hAnsi="Times New Roman"/>
        </w:rPr>
        <w:t xml:space="preserve">Tecniche di accelerazione basate su </w:t>
      </w:r>
      <w:proofErr w:type="spellStart"/>
      <w:r w:rsidRPr="0032716F">
        <w:rPr>
          <w:rFonts w:ascii="Times New Roman" w:eastAsia="Times New Roman" w:hAnsi="Times New Roman"/>
        </w:rPr>
        <w:t>Parallel</w:t>
      </w:r>
      <w:proofErr w:type="spellEnd"/>
      <w:r w:rsidRPr="0032716F">
        <w:rPr>
          <w:rFonts w:ascii="Times New Roman" w:eastAsia="Times New Roman" w:hAnsi="Times New Roman"/>
        </w:rPr>
        <w:t xml:space="preserve"> </w:t>
      </w:r>
      <w:proofErr w:type="spellStart"/>
      <w:r w:rsidRPr="0032716F">
        <w:rPr>
          <w:rFonts w:ascii="Times New Roman" w:eastAsia="Times New Roman" w:hAnsi="Times New Roman"/>
        </w:rPr>
        <w:t>Imaging</w:t>
      </w:r>
      <w:proofErr w:type="spellEnd"/>
      <w:r w:rsidRPr="0032716F">
        <w:rPr>
          <w:rFonts w:ascii="Times New Roman" w:eastAsia="Times New Roman" w:hAnsi="Times New Roman"/>
        </w:rPr>
        <w:t xml:space="preserve"> e su </w:t>
      </w:r>
      <w:proofErr w:type="spellStart"/>
      <w:r w:rsidRPr="0032716F">
        <w:rPr>
          <w:rFonts w:ascii="Times New Roman" w:eastAsia="Times New Roman" w:hAnsi="Times New Roman"/>
        </w:rPr>
        <w:t>Compressed</w:t>
      </w:r>
      <w:proofErr w:type="spellEnd"/>
      <w:r w:rsidRPr="0032716F">
        <w:rPr>
          <w:rFonts w:ascii="Times New Roman" w:eastAsia="Times New Roman" w:hAnsi="Times New Roman"/>
        </w:rPr>
        <w:t xml:space="preserve"> </w:t>
      </w:r>
      <w:proofErr w:type="spellStart"/>
      <w:r w:rsidRPr="0032716F">
        <w:rPr>
          <w:rFonts w:ascii="Times New Roman" w:eastAsia="Times New Roman" w:hAnsi="Times New Roman"/>
        </w:rPr>
        <w:t>Sensing</w:t>
      </w:r>
      <w:proofErr w:type="spellEnd"/>
      <w:r w:rsidRPr="0032716F">
        <w:rPr>
          <w:rFonts w:ascii="Times New Roman" w:eastAsia="Times New Roman" w:hAnsi="Times New Roman"/>
        </w:rPr>
        <w:t>;</w:t>
      </w:r>
    </w:p>
    <w:p w:rsidR="002A3B4B" w:rsidRPr="002A3B4B" w:rsidRDefault="002A3B4B" w:rsidP="00222DF8">
      <w:pPr>
        <w:numPr>
          <w:ilvl w:val="0"/>
          <w:numId w:val="1"/>
        </w:numPr>
        <w:spacing w:before="240" w:line="276" w:lineRule="auto"/>
        <w:rPr>
          <w:rFonts w:ascii="Times New Roman" w:eastAsia="Times New Roman" w:hAnsi="Times New Roman"/>
        </w:rPr>
      </w:pPr>
      <w:r w:rsidRPr="0032716F">
        <w:rPr>
          <w:rFonts w:ascii="Times New Roman" w:eastAsia="Times New Roman" w:hAnsi="Times New Roman"/>
        </w:rPr>
        <w:t xml:space="preserve">Ampia scelta di sequenze comprese quelle di saturazione del grasso, </w:t>
      </w:r>
      <w:proofErr w:type="spellStart"/>
      <w:r w:rsidRPr="0032716F">
        <w:rPr>
          <w:rFonts w:ascii="Times New Roman" w:eastAsia="Times New Roman" w:hAnsi="Times New Roman"/>
        </w:rPr>
        <w:t>Dixon</w:t>
      </w:r>
      <w:proofErr w:type="spellEnd"/>
      <w:r w:rsidRPr="0032716F">
        <w:rPr>
          <w:rFonts w:ascii="Times New Roman" w:eastAsia="Times New Roman" w:hAnsi="Times New Roman"/>
        </w:rPr>
        <w:t xml:space="preserve"> multipoint (numero di punti maggiore di 3)</w:t>
      </w:r>
      <w:r>
        <w:rPr>
          <w:rFonts w:ascii="Times New Roman" w:eastAsia="Times New Roman" w:hAnsi="Times New Roman"/>
        </w:rPr>
        <w:t xml:space="preserve"> o equivalenti</w:t>
      </w:r>
      <w:r w:rsidRPr="0032716F">
        <w:rPr>
          <w:rFonts w:ascii="Times New Roman" w:eastAsia="Times New Roman" w:hAnsi="Times New Roman"/>
        </w:rPr>
        <w:t>, sistemi di correzione dell’uniformità e di accelerazione, riduzione artefatti da movimento;</w:t>
      </w:r>
    </w:p>
    <w:p w:rsidR="00E95367" w:rsidRDefault="000D3BF7" w:rsidP="00222DF8">
      <w:pPr>
        <w:numPr>
          <w:ilvl w:val="0"/>
          <w:numId w:val="1"/>
        </w:numPr>
        <w:spacing w:before="240" w:line="276" w:lineRule="auto"/>
        <w:rPr>
          <w:rFonts w:ascii="Times New Roman" w:eastAsia="Times New Roman" w:hAnsi="Times New Roman"/>
        </w:rPr>
      </w:pPr>
      <w:r w:rsidRPr="0032716F">
        <w:rPr>
          <w:rFonts w:ascii="Times New Roman" w:eastAsia="Times New Roman" w:hAnsi="Times New Roman"/>
        </w:rPr>
        <w:t xml:space="preserve">Pacchetto neuro e neuro avanzato che includa anche: </w:t>
      </w:r>
    </w:p>
    <w:p w:rsidR="00E95367" w:rsidRDefault="000D3BF7" w:rsidP="00222DF8">
      <w:pPr>
        <w:pStyle w:val="Paragrafoelenco"/>
        <w:numPr>
          <w:ilvl w:val="0"/>
          <w:numId w:val="2"/>
        </w:numPr>
        <w:spacing w:before="240" w:line="276" w:lineRule="auto"/>
        <w:rPr>
          <w:rFonts w:ascii="Times New Roman" w:eastAsia="Times New Roman" w:hAnsi="Times New Roman"/>
        </w:rPr>
      </w:pPr>
      <w:r w:rsidRPr="00E95367">
        <w:rPr>
          <w:rFonts w:ascii="Times New Roman" w:eastAsia="Times New Roman" w:hAnsi="Times New Roman"/>
        </w:rPr>
        <w:t xml:space="preserve">tecniche di perfusione con e senza mezzo di contrasto; </w:t>
      </w:r>
    </w:p>
    <w:p w:rsidR="00E95367" w:rsidRDefault="000D3BF7" w:rsidP="00222DF8">
      <w:pPr>
        <w:pStyle w:val="Paragrafoelenco"/>
        <w:numPr>
          <w:ilvl w:val="0"/>
          <w:numId w:val="2"/>
        </w:numPr>
        <w:spacing w:before="240" w:line="276" w:lineRule="auto"/>
        <w:rPr>
          <w:rFonts w:ascii="Times New Roman" w:eastAsia="Times New Roman" w:hAnsi="Times New Roman"/>
        </w:rPr>
      </w:pPr>
      <w:r w:rsidRPr="00E95367">
        <w:rPr>
          <w:rFonts w:ascii="Times New Roman" w:eastAsia="Times New Roman" w:hAnsi="Times New Roman"/>
        </w:rPr>
        <w:t xml:space="preserve">spettroscopia (2D e 3D), </w:t>
      </w:r>
    </w:p>
    <w:p w:rsidR="00E95367" w:rsidRDefault="000D3BF7" w:rsidP="00222DF8">
      <w:pPr>
        <w:pStyle w:val="Paragrafoelenco"/>
        <w:numPr>
          <w:ilvl w:val="0"/>
          <w:numId w:val="2"/>
        </w:numPr>
        <w:spacing w:before="240" w:line="276" w:lineRule="auto"/>
        <w:rPr>
          <w:rFonts w:ascii="Times New Roman" w:eastAsia="Times New Roman" w:hAnsi="Times New Roman"/>
        </w:rPr>
      </w:pPr>
      <w:r w:rsidRPr="00E95367">
        <w:rPr>
          <w:rFonts w:ascii="Times New Roman" w:eastAsia="Times New Roman" w:hAnsi="Times New Roman"/>
        </w:rPr>
        <w:t xml:space="preserve">sequenze per la rimozione e la correzione degli artefatti da movimento (tecnica </w:t>
      </w:r>
      <w:proofErr w:type="spellStart"/>
      <w:r w:rsidRPr="00E95367">
        <w:rPr>
          <w:rFonts w:ascii="Times New Roman" w:eastAsia="Times New Roman" w:hAnsi="Times New Roman"/>
        </w:rPr>
        <w:t>Blade</w:t>
      </w:r>
      <w:proofErr w:type="spellEnd"/>
      <w:r w:rsidRPr="00E95367">
        <w:rPr>
          <w:rFonts w:ascii="Times New Roman" w:eastAsia="Times New Roman" w:hAnsi="Times New Roman"/>
        </w:rPr>
        <w:t>/</w:t>
      </w:r>
      <w:proofErr w:type="spellStart"/>
      <w:r w:rsidRPr="00E95367">
        <w:rPr>
          <w:rFonts w:ascii="Times New Roman" w:eastAsia="Times New Roman" w:hAnsi="Times New Roman"/>
        </w:rPr>
        <w:t>Propeller</w:t>
      </w:r>
      <w:proofErr w:type="spellEnd"/>
      <w:r w:rsidRPr="00E95367">
        <w:rPr>
          <w:rFonts w:ascii="Times New Roman" w:eastAsia="Times New Roman" w:hAnsi="Times New Roman"/>
        </w:rPr>
        <w:t xml:space="preserve"> oltre a tecniche basate su Navigator </w:t>
      </w:r>
      <w:proofErr w:type="spellStart"/>
      <w:r w:rsidRPr="00E95367">
        <w:rPr>
          <w:rFonts w:ascii="Times New Roman" w:eastAsia="Times New Roman" w:hAnsi="Times New Roman"/>
        </w:rPr>
        <w:t>Echo</w:t>
      </w:r>
      <w:proofErr w:type="spellEnd"/>
      <w:r w:rsidRPr="00E95367">
        <w:rPr>
          <w:rFonts w:ascii="Times New Roman" w:eastAsia="Times New Roman" w:hAnsi="Times New Roman"/>
        </w:rPr>
        <w:t xml:space="preserve"> o equivalenti; </w:t>
      </w:r>
    </w:p>
    <w:p w:rsidR="00E95367" w:rsidRDefault="000D3BF7" w:rsidP="00222DF8">
      <w:pPr>
        <w:pStyle w:val="Paragrafoelenco"/>
        <w:numPr>
          <w:ilvl w:val="0"/>
          <w:numId w:val="2"/>
        </w:numPr>
        <w:spacing w:before="240" w:line="276" w:lineRule="auto"/>
        <w:rPr>
          <w:rFonts w:ascii="Times New Roman" w:eastAsia="Times New Roman" w:hAnsi="Times New Roman"/>
        </w:rPr>
      </w:pPr>
      <w:r w:rsidRPr="00E95367">
        <w:rPr>
          <w:rFonts w:ascii="Times New Roman" w:eastAsia="Times New Roman" w:hAnsi="Times New Roman"/>
        </w:rPr>
        <w:t xml:space="preserve">sequenze per l’acquisizione </w:t>
      </w:r>
      <w:proofErr w:type="spellStart"/>
      <w:r w:rsidRPr="00E95367">
        <w:rPr>
          <w:rFonts w:ascii="Times New Roman" w:eastAsia="Times New Roman" w:hAnsi="Times New Roman"/>
        </w:rPr>
        <w:t>fMRI</w:t>
      </w:r>
      <w:proofErr w:type="spellEnd"/>
      <w:r w:rsidRPr="00E95367">
        <w:rPr>
          <w:rFonts w:ascii="Times New Roman" w:eastAsia="Times New Roman" w:hAnsi="Times New Roman"/>
        </w:rPr>
        <w:t xml:space="preserve"> anche real-time, </w:t>
      </w:r>
    </w:p>
    <w:p w:rsidR="00E95367" w:rsidRDefault="000D3BF7" w:rsidP="00222DF8">
      <w:pPr>
        <w:pStyle w:val="Paragrafoelenco"/>
        <w:numPr>
          <w:ilvl w:val="0"/>
          <w:numId w:val="2"/>
        </w:numPr>
        <w:spacing w:before="240" w:line="276" w:lineRule="auto"/>
        <w:rPr>
          <w:rFonts w:ascii="Times New Roman" w:eastAsia="Times New Roman" w:hAnsi="Times New Roman"/>
        </w:rPr>
      </w:pPr>
      <w:r w:rsidRPr="00E95367">
        <w:rPr>
          <w:rFonts w:ascii="Times New Roman" w:eastAsia="Times New Roman" w:hAnsi="Times New Roman"/>
        </w:rPr>
        <w:t xml:space="preserve">DTI e </w:t>
      </w:r>
      <w:proofErr w:type="spellStart"/>
      <w:r w:rsidRPr="00E95367">
        <w:rPr>
          <w:rFonts w:ascii="Times New Roman" w:eastAsia="Times New Roman" w:hAnsi="Times New Roman"/>
        </w:rPr>
        <w:t>Trattografia</w:t>
      </w:r>
      <w:proofErr w:type="spellEnd"/>
      <w:r w:rsidRPr="00E95367">
        <w:rPr>
          <w:rFonts w:ascii="Times New Roman" w:eastAsia="Times New Roman" w:hAnsi="Times New Roman"/>
        </w:rPr>
        <w:t xml:space="preserve">; </w:t>
      </w:r>
    </w:p>
    <w:p w:rsidR="00E95367" w:rsidRDefault="000D3BF7" w:rsidP="00222DF8">
      <w:pPr>
        <w:pStyle w:val="Paragrafoelenco"/>
        <w:numPr>
          <w:ilvl w:val="0"/>
          <w:numId w:val="2"/>
        </w:numPr>
        <w:spacing w:before="240" w:line="276" w:lineRule="auto"/>
        <w:rPr>
          <w:rFonts w:ascii="Times New Roman" w:eastAsia="Times New Roman" w:hAnsi="Times New Roman"/>
        </w:rPr>
      </w:pPr>
      <w:r w:rsidRPr="00E95367">
        <w:rPr>
          <w:rFonts w:ascii="Times New Roman" w:eastAsia="Times New Roman" w:hAnsi="Times New Roman"/>
        </w:rPr>
        <w:t>tecniche EPI per la risoluzione degli ar</w:t>
      </w:r>
      <w:r w:rsidR="00E95367">
        <w:rPr>
          <w:rFonts w:ascii="Times New Roman" w:eastAsia="Times New Roman" w:hAnsi="Times New Roman"/>
        </w:rPr>
        <w:t>t</w:t>
      </w:r>
      <w:r w:rsidRPr="00E95367">
        <w:rPr>
          <w:rFonts w:ascii="Times New Roman" w:eastAsia="Times New Roman" w:hAnsi="Times New Roman"/>
        </w:rPr>
        <w:t>efatti da suscettività magnetica e aumento della risoluzione spaziale (anche multi-</w:t>
      </w:r>
      <w:proofErr w:type="spellStart"/>
      <w:r w:rsidRPr="00E95367">
        <w:rPr>
          <w:rFonts w:ascii="Times New Roman" w:eastAsia="Times New Roman" w:hAnsi="Times New Roman"/>
        </w:rPr>
        <w:t>shot</w:t>
      </w:r>
      <w:proofErr w:type="spellEnd"/>
      <w:r w:rsidRPr="00E95367">
        <w:rPr>
          <w:rFonts w:ascii="Times New Roman" w:eastAsia="Times New Roman" w:hAnsi="Times New Roman"/>
        </w:rPr>
        <w:t xml:space="preserve">); </w:t>
      </w:r>
    </w:p>
    <w:p w:rsidR="00E95367" w:rsidRDefault="000D3BF7" w:rsidP="00222DF8">
      <w:pPr>
        <w:pStyle w:val="Paragrafoelenco"/>
        <w:numPr>
          <w:ilvl w:val="0"/>
          <w:numId w:val="2"/>
        </w:numPr>
        <w:spacing w:before="240" w:line="276" w:lineRule="auto"/>
        <w:rPr>
          <w:rFonts w:ascii="Times New Roman" w:eastAsia="Times New Roman" w:hAnsi="Times New Roman"/>
        </w:rPr>
      </w:pPr>
      <w:r w:rsidRPr="00E95367">
        <w:rPr>
          <w:rFonts w:ascii="Times New Roman" w:eastAsia="Times New Roman" w:hAnsi="Times New Roman"/>
        </w:rPr>
        <w:t xml:space="preserve">sequenze a FOV ridotto (per es. per lo studio di ipofisi, plesso, </w:t>
      </w:r>
      <w:proofErr w:type="spellStart"/>
      <w:r w:rsidRPr="00E95367">
        <w:rPr>
          <w:rFonts w:ascii="Times New Roman" w:eastAsia="Times New Roman" w:hAnsi="Times New Roman"/>
        </w:rPr>
        <w:t>etc</w:t>
      </w:r>
      <w:proofErr w:type="spellEnd"/>
      <w:r w:rsidRPr="00E95367">
        <w:rPr>
          <w:rFonts w:ascii="Times New Roman" w:eastAsia="Times New Roman" w:hAnsi="Times New Roman"/>
        </w:rPr>
        <w:t>) con riduzione degli artefatti out-of-</w:t>
      </w:r>
      <w:proofErr w:type="spellStart"/>
      <w:r w:rsidRPr="00E95367">
        <w:rPr>
          <w:rFonts w:ascii="Times New Roman" w:eastAsia="Times New Roman" w:hAnsi="Times New Roman"/>
        </w:rPr>
        <w:t>fov</w:t>
      </w:r>
      <w:proofErr w:type="spellEnd"/>
      <w:r w:rsidRPr="00E95367">
        <w:rPr>
          <w:rFonts w:ascii="Times New Roman" w:eastAsia="Times New Roman" w:hAnsi="Times New Roman"/>
        </w:rPr>
        <w:t xml:space="preserve">; </w:t>
      </w:r>
    </w:p>
    <w:p w:rsidR="00E95367" w:rsidRDefault="000D3BF7" w:rsidP="00222DF8">
      <w:pPr>
        <w:pStyle w:val="Paragrafoelenco"/>
        <w:numPr>
          <w:ilvl w:val="0"/>
          <w:numId w:val="2"/>
        </w:numPr>
        <w:spacing w:before="240" w:line="276" w:lineRule="auto"/>
        <w:rPr>
          <w:rFonts w:ascii="Times New Roman" w:eastAsia="Times New Roman" w:hAnsi="Times New Roman"/>
        </w:rPr>
      </w:pPr>
      <w:r w:rsidRPr="00E95367">
        <w:rPr>
          <w:rFonts w:ascii="Times New Roman" w:eastAsia="Times New Roman" w:hAnsi="Times New Roman"/>
        </w:rPr>
        <w:t xml:space="preserve">sequenze di diffusione a FOV ridotto; </w:t>
      </w:r>
    </w:p>
    <w:p w:rsidR="00E95367" w:rsidRDefault="00E95367" w:rsidP="00222DF8">
      <w:pPr>
        <w:pStyle w:val="Paragrafoelenco"/>
        <w:numPr>
          <w:ilvl w:val="0"/>
          <w:numId w:val="2"/>
        </w:numPr>
        <w:spacing w:before="240" w:line="276" w:lineRule="auto"/>
        <w:rPr>
          <w:rFonts w:ascii="Times New Roman" w:eastAsia="Times New Roman" w:hAnsi="Times New Roman"/>
        </w:rPr>
      </w:pPr>
      <w:r>
        <w:rPr>
          <w:rFonts w:ascii="Times New Roman" w:eastAsia="Times New Roman" w:hAnsi="Times New Roman"/>
        </w:rPr>
        <w:t>sequenze SWI;</w:t>
      </w:r>
      <w:r w:rsidR="000D3BF7" w:rsidRPr="00E95367">
        <w:rPr>
          <w:rFonts w:ascii="Times New Roman" w:eastAsia="Times New Roman" w:hAnsi="Times New Roman"/>
        </w:rPr>
        <w:t xml:space="preserve"> </w:t>
      </w:r>
    </w:p>
    <w:p w:rsidR="000D3BF7" w:rsidRDefault="000D3BF7" w:rsidP="00222DF8">
      <w:pPr>
        <w:pStyle w:val="Paragrafoelenco"/>
        <w:numPr>
          <w:ilvl w:val="0"/>
          <w:numId w:val="2"/>
        </w:numPr>
        <w:spacing w:before="240" w:line="276" w:lineRule="auto"/>
        <w:rPr>
          <w:rFonts w:ascii="Times New Roman" w:eastAsia="Times New Roman" w:hAnsi="Times New Roman"/>
        </w:rPr>
      </w:pPr>
      <w:r w:rsidRPr="00E95367">
        <w:rPr>
          <w:rFonts w:ascii="Times New Roman" w:eastAsia="Times New Roman" w:hAnsi="Times New Roman"/>
        </w:rPr>
        <w:t>Sequenza multi-banda</w:t>
      </w:r>
      <w:r w:rsidR="00E95367" w:rsidRPr="00E95367">
        <w:rPr>
          <w:rFonts w:ascii="Times New Roman" w:eastAsia="Times New Roman" w:hAnsi="Times New Roman"/>
        </w:rPr>
        <w:t>;</w:t>
      </w:r>
    </w:p>
    <w:p w:rsidR="002A3B4B" w:rsidRDefault="002A3B4B" w:rsidP="00222DF8">
      <w:pPr>
        <w:pStyle w:val="Paragrafoelenco"/>
        <w:spacing w:before="240" w:line="276" w:lineRule="auto"/>
        <w:ind w:left="1080"/>
        <w:rPr>
          <w:rFonts w:ascii="Times New Roman" w:eastAsia="Times New Roman" w:hAnsi="Times New Roman"/>
        </w:rPr>
      </w:pPr>
    </w:p>
    <w:p w:rsidR="002A3B4B" w:rsidRDefault="002A3B4B" w:rsidP="00222DF8">
      <w:pPr>
        <w:pStyle w:val="Paragrafoelenco"/>
        <w:numPr>
          <w:ilvl w:val="0"/>
          <w:numId w:val="3"/>
        </w:numPr>
        <w:spacing w:before="240" w:line="276" w:lineRule="auto"/>
        <w:rPr>
          <w:rFonts w:ascii="Times New Roman" w:eastAsia="Times New Roman" w:hAnsi="Times New Roman"/>
        </w:rPr>
      </w:pPr>
      <w:r>
        <w:rPr>
          <w:rFonts w:ascii="Times New Roman" w:eastAsia="Times New Roman" w:hAnsi="Times New Roman"/>
        </w:rPr>
        <w:t>Pacchetto oncologico completo che includa anche:</w:t>
      </w:r>
    </w:p>
    <w:p w:rsidR="002A3B4B" w:rsidRDefault="002A3B4B" w:rsidP="00222DF8">
      <w:pPr>
        <w:pStyle w:val="Paragrafoelenco"/>
        <w:numPr>
          <w:ilvl w:val="0"/>
          <w:numId w:val="2"/>
        </w:numPr>
        <w:spacing w:before="240" w:line="276" w:lineRule="auto"/>
        <w:rPr>
          <w:rFonts w:ascii="Times New Roman" w:eastAsia="Times New Roman" w:hAnsi="Times New Roman"/>
        </w:rPr>
      </w:pPr>
      <w:r>
        <w:rPr>
          <w:rFonts w:ascii="Times New Roman" w:eastAsia="Times New Roman" w:hAnsi="Times New Roman"/>
        </w:rPr>
        <w:t>Sequenze di perfusione T1 ad alta risoluzione temporale;</w:t>
      </w:r>
    </w:p>
    <w:p w:rsidR="002A3B4B" w:rsidRDefault="002A3B4B" w:rsidP="00222DF8">
      <w:pPr>
        <w:pStyle w:val="Paragrafoelenco"/>
        <w:numPr>
          <w:ilvl w:val="0"/>
          <w:numId w:val="2"/>
        </w:numPr>
        <w:spacing w:before="240" w:line="276" w:lineRule="auto"/>
        <w:rPr>
          <w:rFonts w:ascii="Times New Roman" w:eastAsia="Times New Roman" w:hAnsi="Times New Roman"/>
        </w:rPr>
      </w:pPr>
      <w:r>
        <w:rPr>
          <w:rFonts w:ascii="Times New Roman" w:eastAsia="Times New Roman" w:hAnsi="Times New Roman"/>
        </w:rPr>
        <w:t>Sequenze di diffusione con riduzione di artefatti dielettrici e incremento della risoluzione (anche multi-</w:t>
      </w:r>
      <w:proofErr w:type="spellStart"/>
      <w:r>
        <w:rPr>
          <w:rFonts w:ascii="Times New Roman" w:eastAsia="Times New Roman" w:hAnsi="Times New Roman"/>
        </w:rPr>
        <w:t>shot</w:t>
      </w:r>
      <w:proofErr w:type="spellEnd"/>
      <w:r>
        <w:rPr>
          <w:rFonts w:ascii="Times New Roman" w:eastAsia="Times New Roman" w:hAnsi="Times New Roman"/>
        </w:rPr>
        <w:t>);</w:t>
      </w:r>
    </w:p>
    <w:p w:rsidR="002A3B4B" w:rsidRDefault="002A3B4B" w:rsidP="00222DF8">
      <w:pPr>
        <w:pStyle w:val="Paragrafoelenco"/>
        <w:numPr>
          <w:ilvl w:val="0"/>
          <w:numId w:val="2"/>
        </w:numPr>
        <w:spacing w:before="240" w:line="276" w:lineRule="auto"/>
        <w:rPr>
          <w:rFonts w:ascii="Times New Roman" w:eastAsia="Times New Roman" w:hAnsi="Times New Roman"/>
        </w:rPr>
      </w:pPr>
      <w:r>
        <w:rPr>
          <w:rFonts w:ascii="Times New Roman" w:eastAsia="Times New Roman" w:hAnsi="Times New Roman"/>
        </w:rPr>
        <w:t>Possibilità di calcolare b-</w:t>
      </w:r>
      <w:proofErr w:type="spellStart"/>
      <w:r>
        <w:rPr>
          <w:rFonts w:ascii="Times New Roman" w:eastAsia="Times New Roman" w:hAnsi="Times New Roman"/>
        </w:rPr>
        <w:t>values</w:t>
      </w:r>
      <w:proofErr w:type="spellEnd"/>
      <w:r>
        <w:rPr>
          <w:rFonts w:ascii="Times New Roman" w:eastAsia="Times New Roman" w:hAnsi="Times New Roman"/>
        </w:rPr>
        <w:t xml:space="preserve"> non acquisiti in sequenze di diffusione;</w:t>
      </w:r>
    </w:p>
    <w:p w:rsidR="008109AD" w:rsidRDefault="008109AD" w:rsidP="00222DF8">
      <w:pPr>
        <w:pStyle w:val="Paragrafoelenco"/>
        <w:spacing w:before="240" w:line="276" w:lineRule="auto"/>
        <w:ind w:left="1080"/>
        <w:rPr>
          <w:rFonts w:ascii="Times New Roman" w:eastAsia="Times New Roman" w:hAnsi="Times New Roman"/>
        </w:rPr>
      </w:pPr>
    </w:p>
    <w:p w:rsidR="002A3B4B" w:rsidRDefault="008109AD" w:rsidP="00222DF8">
      <w:pPr>
        <w:pStyle w:val="Paragrafoelenco"/>
        <w:numPr>
          <w:ilvl w:val="0"/>
          <w:numId w:val="3"/>
        </w:numPr>
        <w:spacing w:before="240" w:line="276" w:lineRule="auto"/>
        <w:rPr>
          <w:rFonts w:ascii="Times New Roman" w:eastAsia="Times New Roman" w:hAnsi="Times New Roman"/>
        </w:rPr>
      </w:pPr>
      <w:r>
        <w:rPr>
          <w:rFonts w:ascii="Times New Roman" w:eastAsia="Times New Roman" w:hAnsi="Times New Roman"/>
        </w:rPr>
        <w:t>Pacchetto ortopedico completo che includa anche sequenze per la rimozione degli artefatti metallici per studi volumetrici ad alta risoluzione;</w:t>
      </w:r>
    </w:p>
    <w:p w:rsidR="008109AD" w:rsidRDefault="008109AD" w:rsidP="00222DF8">
      <w:pPr>
        <w:pStyle w:val="Paragrafoelenco"/>
        <w:spacing w:before="240" w:line="276" w:lineRule="auto"/>
        <w:rPr>
          <w:rFonts w:ascii="Times New Roman" w:eastAsia="Times New Roman" w:hAnsi="Times New Roman"/>
        </w:rPr>
      </w:pPr>
    </w:p>
    <w:p w:rsidR="008109AD" w:rsidRDefault="008109AD" w:rsidP="00222DF8">
      <w:pPr>
        <w:pStyle w:val="Paragrafoelenco"/>
        <w:numPr>
          <w:ilvl w:val="0"/>
          <w:numId w:val="3"/>
        </w:numPr>
        <w:spacing w:before="240" w:line="276" w:lineRule="auto"/>
        <w:rPr>
          <w:rFonts w:ascii="Times New Roman" w:eastAsia="Times New Roman" w:hAnsi="Times New Roman"/>
        </w:rPr>
      </w:pPr>
      <w:r>
        <w:rPr>
          <w:rFonts w:ascii="Times New Roman" w:eastAsia="Times New Roman" w:hAnsi="Times New Roman"/>
        </w:rPr>
        <w:t>Pacchetto di sequenze per studi vascolari con e senza mezzo di contrasto;</w:t>
      </w:r>
    </w:p>
    <w:p w:rsidR="008109AD" w:rsidRPr="008109AD" w:rsidRDefault="008109AD" w:rsidP="00222DF8">
      <w:pPr>
        <w:pStyle w:val="Paragrafoelenco"/>
        <w:rPr>
          <w:rFonts w:ascii="Times New Roman" w:eastAsia="Times New Roman" w:hAnsi="Times New Roman"/>
        </w:rPr>
      </w:pPr>
    </w:p>
    <w:p w:rsidR="008109AD" w:rsidRPr="002A3B4B" w:rsidRDefault="008109AD" w:rsidP="00222DF8">
      <w:pPr>
        <w:pStyle w:val="Paragrafoelenco"/>
        <w:numPr>
          <w:ilvl w:val="0"/>
          <w:numId w:val="3"/>
        </w:numPr>
        <w:spacing w:before="240" w:line="276" w:lineRule="auto"/>
        <w:rPr>
          <w:rFonts w:ascii="Times New Roman" w:eastAsia="Times New Roman" w:hAnsi="Times New Roman"/>
        </w:rPr>
      </w:pPr>
      <w:r>
        <w:rPr>
          <w:rFonts w:ascii="Times New Roman" w:eastAsia="Times New Roman" w:hAnsi="Times New Roman"/>
        </w:rPr>
        <w:t xml:space="preserve">Sequenze ultrarapide (TE ultra breve) per lo studio di strutture con tempi di rilassamento T2/T2* estremamente brevi per la valutazione di strutture </w:t>
      </w:r>
      <w:proofErr w:type="spellStart"/>
      <w:r>
        <w:rPr>
          <w:rFonts w:ascii="Times New Roman" w:eastAsia="Times New Roman" w:hAnsi="Times New Roman"/>
        </w:rPr>
        <w:t>osseee</w:t>
      </w:r>
      <w:proofErr w:type="spellEnd"/>
      <w:r>
        <w:rPr>
          <w:rFonts w:ascii="Times New Roman" w:eastAsia="Times New Roman" w:hAnsi="Times New Roman"/>
        </w:rPr>
        <w:t xml:space="preserve"> quali ad esempio la corticale ossea;</w:t>
      </w:r>
    </w:p>
    <w:p w:rsidR="0056503E" w:rsidRPr="0032716F" w:rsidRDefault="0056503E" w:rsidP="00222DF8">
      <w:pPr>
        <w:numPr>
          <w:ilvl w:val="0"/>
          <w:numId w:val="1"/>
        </w:numPr>
        <w:spacing w:before="240" w:line="276" w:lineRule="auto"/>
        <w:rPr>
          <w:rFonts w:ascii="Times New Roman" w:eastAsia="Times New Roman" w:hAnsi="Times New Roman"/>
        </w:rPr>
      </w:pPr>
      <w:r w:rsidRPr="0032716F">
        <w:rPr>
          <w:rFonts w:ascii="Times New Roman" w:eastAsia="Times New Roman" w:hAnsi="Times New Roman"/>
        </w:rPr>
        <w:t xml:space="preserve">Pacchetti software specifici per applicazioni neuro e spettroscopiche, tensoriali, di diffusione e perfusione, </w:t>
      </w:r>
      <w:proofErr w:type="spellStart"/>
      <w:r w:rsidRPr="0032716F">
        <w:rPr>
          <w:rFonts w:ascii="Times New Roman" w:eastAsia="Times New Roman" w:hAnsi="Times New Roman"/>
        </w:rPr>
        <w:t>trattografiche</w:t>
      </w:r>
      <w:proofErr w:type="spellEnd"/>
      <w:r w:rsidRPr="0032716F">
        <w:rPr>
          <w:rFonts w:ascii="Times New Roman" w:eastAsia="Times New Roman" w:hAnsi="Times New Roman"/>
        </w:rPr>
        <w:t xml:space="preserve"> e volumetriche;</w:t>
      </w:r>
    </w:p>
    <w:p w:rsidR="0056503E" w:rsidRPr="0032716F" w:rsidRDefault="0056503E" w:rsidP="00222DF8">
      <w:pPr>
        <w:numPr>
          <w:ilvl w:val="0"/>
          <w:numId w:val="1"/>
        </w:numPr>
        <w:spacing w:before="240" w:line="276" w:lineRule="auto"/>
        <w:rPr>
          <w:rFonts w:ascii="Times New Roman" w:eastAsia="Times New Roman" w:hAnsi="Times New Roman"/>
        </w:rPr>
      </w:pPr>
      <w:r w:rsidRPr="0032716F">
        <w:rPr>
          <w:rFonts w:ascii="Times New Roman" w:eastAsia="Times New Roman" w:hAnsi="Times New Roman"/>
        </w:rPr>
        <w:t xml:space="preserve">Sistemi di ricostruzione basati sull’intelligenza artificiale di tipo </w:t>
      </w:r>
      <w:proofErr w:type="spellStart"/>
      <w:r w:rsidRPr="0032716F">
        <w:rPr>
          <w:rFonts w:ascii="Times New Roman" w:eastAsia="Times New Roman" w:hAnsi="Times New Roman"/>
        </w:rPr>
        <w:t>Deep</w:t>
      </w:r>
      <w:proofErr w:type="spellEnd"/>
      <w:r w:rsidRPr="0032716F">
        <w:rPr>
          <w:rFonts w:ascii="Times New Roman" w:eastAsia="Times New Roman" w:hAnsi="Times New Roman"/>
        </w:rPr>
        <w:t xml:space="preserve"> Learning per il miglioramento della qualità dell’immagine senza limitazione di distretti anatomici e per il posizionamento automatico dei piani di acquisizione in ambito neurologico;</w:t>
      </w:r>
    </w:p>
    <w:p w:rsidR="0056503E" w:rsidRPr="0032716F" w:rsidRDefault="0056503E" w:rsidP="0032716F">
      <w:pPr>
        <w:spacing w:before="240" w:line="276" w:lineRule="auto"/>
        <w:rPr>
          <w:rFonts w:ascii="Times New Roman" w:eastAsia="Times New Roman" w:hAnsi="Times New Roman"/>
        </w:rPr>
      </w:pPr>
      <w:r w:rsidRPr="0032716F">
        <w:rPr>
          <w:rFonts w:ascii="Times New Roman" w:eastAsia="Times New Roman" w:hAnsi="Times New Roman"/>
        </w:rPr>
        <w:t>La soluzione proposta, comprensiva di tutti gli accessori, dovrà essere conforme alle norme CEI e/o altre disposizioni internazionali riconosciute nonché alle vigenti norme legislative. Il sistema proposto dovrà risultare inserito nel Repertorio Nazionale dei Dispositivi Medici commercializzati in Italia (RDM) dei prodotti oggetto della presente, ai sensi del D.M. 20/02/2007 del Ministero della Salute, nel limite delle disposizioni di legge in vigore.</w:t>
      </w:r>
    </w:p>
    <w:p w:rsidR="00810240" w:rsidRPr="0032716F" w:rsidRDefault="00810240" w:rsidP="0032716F">
      <w:pPr>
        <w:spacing w:before="240" w:line="276" w:lineRule="auto"/>
        <w:rPr>
          <w:rFonts w:ascii="Times New Roman" w:eastAsia="Times New Roman" w:hAnsi="Times New Roman"/>
          <w:b/>
          <w:i/>
        </w:rPr>
      </w:pPr>
      <w:r w:rsidRPr="0032716F">
        <w:rPr>
          <w:rFonts w:ascii="Times New Roman" w:eastAsia="Times New Roman" w:hAnsi="Times New Roman"/>
          <w:b/>
          <w:i/>
        </w:rPr>
        <w:t>Esecuzione del servizio</w:t>
      </w:r>
    </w:p>
    <w:p w:rsidR="0056503E" w:rsidRPr="0032716F" w:rsidRDefault="0056503E" w:rsidP="0032716F">
      <w:pPr>
        <w:spacing w:before="240" w:line="276" w:lineRule="auto"/>
        <w:rPr>
          <w:rFonts w:ascii="Times New Roman" w:eastAsia="Times New Roman" w:hAnsi="Times New Roman"/>
        </w:rPr>
      </w:pPr>
      <w:r w:rsidRPr="0032716F">
        <w:rPr>
          <w:rFonts w:ascii="Times New Roman" w:eastAsia="Times New Roman" w:hAnsi="Times New Roman"/>
        </w:rPr>
        <w:t xml:space="preserve">Requisito fondamentale per l’esecuzione dell’aggiornamento richiesto è la minimizzazione dei lavori di adeguamento ovvero delle opere edili, strutturali, impiantistiche, meccaniche e di adeguamento della gabbia di Faraday, minimizzando quindi i tempi di realizzazione e senza interferenza con altre aree presenti nell’Istituto al fine di non creare disagi all’utenza. </w:t>
      </w:r>
    </w:p>
    <w:p w:rsidR="0056503E" w:rsidRPr="0032716F" w:rsidRDefault="0056503E" w:rsidP="0032716F">
      <w:pPr>
        <w:spacing w:before="240" w:line="276" w:lineRule="auto"/>
        <w:rPr>
          <w:rFonts w:ascii="Times New Roman" w:eastAsia="Times New Roman" w:hAnsi="Times New Roman"/>
        </w:rPr>
      </w:pPr>
      <w:r w:rsidRPr="0032716F">
        <w:rPr>
          <w:rFonts w:ascii="Times New Roman" w:eastAsia="Times New Roman" w:hAnsi="Times New Roman"/>
        </w:rPr>
        <w:t xml:space="preserve">Le tempistiche di esecuzione e conclusione </w:t>
      </w:r>
      <w:r w:rsidR="00222DF8">
        <w:rPr>
          <w:rFonts w:ascii="Times New Roman" w:eastAsia="Times New Roman" w:hAnsi="Times New Roman"/>
        </w:rPr>
        <w:t xml:space="preserve">di tutte le lavorazioni (edili, impiantistici, adeguamento gabbia, </w:t>
      </w:r>
      <w:proofErr w:type="spellStart"/>
      <w:r w:rsidR="00222DF8">
        <w:rPr>
          <w:rFonts w:ascii="Times New Roman" w:eastAsia="Times New Roman" w:hAnsi="Times New Roman"/>
        </w:rPr>
        <w:t>etc</w:t>
      </w:r>
      <w:proofErr w:type="spellEnd"/>
      <w:r w:rsidR="00222DF8">
        <w:rPr>
          <w:rFonts w:ascii="Times New Roman" w:eastAsia="Times New Roman" w:hAnsi="Times New Roman"/>
        </w:rPr>
        <w:t>) che si rendono necessarie per la consegna chiavi in mano del sistema e</w:t>
      </w:r>
      <w:r w:rsidRPr="0032716F">
        <w:rPr>
          <w:rFonts w:ascii="Times New Roman" w:eastAsia="Times New Roman" w:hAnsi="Times New Roman"/>
        </w:rPr>
        <w:t xml:space="preserve"> certificazione dovranno essere eseguite in un massimo </w:t>
      </w:r>
      <w:r w:rsidRPr="00222DF8">
        <w:rPr>
          <w:rFonts w:ascii="Times New Roman" w:eastAsia="Times New Roman" w:hAnsi="Times New Roman"/>
        </w:rPr>
        <w:t>di 3 settimane dalla data di spegnimento</w:t>
      </w:r>
      <w:r w:rsidRPr="0032716F">
        <w:rPr>
          <w:rFonts w:ascii="Times New Roman" w:eastAsia="Times New Roman" w:hAnsi="Times New Roman"/>
        </w:rPr>
        <w:t xml:space="preserve"> dell’attuale sistema, al fine di minimizzare i disagi sull’attività clinico-diagnostica del reparto. </w:t>
      </w:r>
      <w:r w:rsidR="00222DF8">
        <w:rPr>
          <w:rFonts w:ascii="Times New Roman" w:eastAsia="Times New Roman" w:hAnsi="Times New Roman"/>
        </w:rPr>
        <w:t xml:space="preserve">Il collaudo e la formazione del personale dovranno improrogabilmente essere eseguiti in un arco temporale di massimo una settimana. Pertanto si stima una durata massima di inutilizzo del sistema </w:t>
      </w:r>
      <w:r w:rsidR="007E62E3">
        <w:rPr>
          <w:rFonts w:ascii="Times New Roman" w:eastAsia="Times New Roman" w:hAnsi="Times New Roman"/>
        </w:rPr>
        <w:t xml:space="preserve">RM 3T </w:t>
      </w:r>
      <w:r w:rsidR="00222DF8">
        <w:rPr>
          <w:rFonts w:ascii="Times New Roman" w:eastAsia="Times New Roman" w:hAnsi="Times New Roman"/>
        </w:rPr>
        <w:t>di 4 settimane</w:t>
      </w:r>
      <w:r w:rsidR="00A77AD6">
        <w:rPr>
          <w:rFonts w:ascii="Times New Roman" w:eastAsia="Times New Roman" w:hAnsi="Times New Roman"/>
        </w:rPr>
        <w:t xml:space="preserve"> (28 giorni solari), a seguito delle quali dovrà essere possibile eseguire esami diagnostici sui pazienti in lista d’attesa</w:t>
      </w:r>
      <w:r w:rsidR="00222DF8">
        <w:rPr>
          <w:rFonts w:ascii="Times New Roman" w:eastAsia="Times New Roman" w:hAnsi="Times New Roman"/>
        </w:rPr>
        <w:t>.</w:t>
      </w:r>
      <w:r w:rsidR="00CB7FEE">
        <w:rPr>
          <w:rFonts w:ascii="Times New Roman" w:eastAsia="Times New Roman" w:hAnsi="Times New Roman"/>
        </w:rPr>
        <w:t xml:space="preserve"> </w:t>
      </w:r>
      <w:r w:rsidRPr="0032716F">
        <w:rPr>
          <w:rFonts w:ascii="Times New Roman" w:eastAsia="Times New Roman" w:hAnsi="Times New Roman"/>
        </w:rPr>
        <w:t xml:space="preserve">Il non rispetto di tale tempistica comporterà l’applicazione di penali che saranno calcolate in funzione degli esami non eseguiti in ogni giornata di fermo macchina causato dall’operatore, oltre il maggior danno nel caso in cui sia necessario attuare misure compensative per gestire le liste di attesa dei pazienti oncologici che si rivolgono al nostro Istituto. </w:t>
      </w:r>
    </w:p>
    <w:p w:rsidR="00A8643C" w:rsidRPr="0032716F" w:rsidRDefault="00A8643C" w:rsidP="0032716F">
      <w:pPr>
        <w:spacing w:before="240" w:line="276" w:lineRule="auto"/>
        <w:rPr>
          <w:rFonts w:ascii="Times New Roman" w:eastAsia="Times New Roman" w:hAnsi="Times New Roman"/>
          <w:b/>
          <w:i/>
        </w:rPr>
      </w:pPr>
      <w:r w:rsidRPr="0032716F">
        <w:rPr>
          <w:rFonts w:ascii="Times New Roman" w:eastAsia="Times New Roman" w:hAnsi="Times New Roman"/>
          <w:b/>
          <w:i/>
        </w:rPr>
        <w:t>Sopralluogo</w:t>
      </w:r>
    </w:p>
    <w:p w:rsidR="0056503E" w:rsidRPr="0032716F" w:rsidRDefault="0056503E" w:rsidP="0032716F">
      <w:pPr>
        <w:spacing w:before="240" w:line="276" w:lineRule="auto"/>
        <w:rPr>
          <w:rFonts w:ascii="Times New Roman" w:eastAsia="Times New Roman" w:hAnsi="Times New Roman"/>
          <w:color w:val="2E74B5"/>
        </w:rPr>
      </w:pPr>
      <w:r w:rsidRPr="0032716F">
        <w:rPr>
          <w:rFonts w:ascii="Times New Roman" w:eastAsia="Times New Roman" w:hAnsi="Times New Roman"/>
        </w:rPr>
        <w:t xml:space="preserve">Al fine della partecipazione alla presente indagine di mercato è possibile richiedere un sopralluogo presso il sito di Risonanza Magnetica 3T interessato mandando una mail all’indirizzo </w:t>
      </w:r>
      <w:r w:rsidRPr="0032716F">
        <w:rPr>
          <w:rFonts w:ascii="Times New Roman" w:eastAsia="Times New Roman" w:hAnsi="Times New Roman"/>
          <w:color w:val="2E74B5"/>
        </w:rPr>
        <w:t>ingegneriaclinica@ifo.it</w:t>
      </w:r>
      <w:r w:rsidR="00A66D0D">
        <w:rPr>
          <w:rFonts w:ascii="Times New Roman" w:eastAsia="Times New Roman" w:hAnsi="Times New Roman"/>
          <w:color w:val="2E74B5"/>
        </w:rPr>
        <w:t>.</w:t>
      </w:r>
    </w:p>
    <w:p w:rsidR="0056503E" w:rsidRPr="0032716F" w:rsidRDefault="0056503E" w:rsidP="0032716F">
      <w:pPr>
        <w:spacing w:before="240" w:line="276" w:lineRule="auto"/>
        <w:rPr>
          <w:rFonts w:ascii="Times New Roman" w:eastAsia="Times New Roman" w:hAnsi="Times New Roman"/>
        </w:rPr>
      </w:pPr>
    </w:p>
    <w:p w:rsidR="00400F4C" w:rsidRPr="0032716F" w:rsidRDefault="0037034E" w:rsidP="0032716F">
      <w:pPr>
        <w:spacing w:line="276" w:lineRule="auto"/>
        <w:rPr>
          <w:rFonts w:ascii="Times New Roman" w:hAnsi="Times New Roman"/>
        </w:rPr>
      </w:pPr>
    </w:p>
    <w:sectPr w:rsidR="00400F4C" w:rsidRPr="0032716F" w:rsidSect="002369E1">
      <w:headerReference w:type="default" r:id="rId7"/>
      <w:pgSz w:w="11906" w:h="16838"/>
      <w:pgMar w:top="182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34E" w:rsidRDefault="0037034E" w:rsidP="002369E1">
      <w:r>
        <w:separator/>
      </w:r>
    </w:p>
  </w:endnote>
  <w:endnote w:type="continuationSeparator" w:id="0">
    <w:p w:rsidR="0037034E" w:rsidRDefault="0037034E" w:rsidP="00236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34E" w:rsidRDefault="0037034E" w:rsidP="002369E1">
      <w:r>
        <w:separator/>
      </w:r>
    </w:p>
  </w:footnote>
  <w:footnote w:type="continuationSeparator" w:id="0">
    <w:p w:rsidR="0037034E" w:rsidRDefault="0037034E" w:rsidP="002369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9E1" w:rsidRDefault="002369E1">
    <w:pPr>
      <w:pStyle w:val="Intestazione"/>
    </w:pPr>
    <w:r>
      <w:rPr>
        <w:noProof/>
        <w:lang w:eastAsia="it-IT"/>
      </w:rPr>
      <w:drawing>
        <wp:anchor distT="0" distB="0" distL="114300" distR="114300" simplePos="0" relativeHeight="251658240" behindDoc="0" locked="0" layoutInCell="1" allowOverlap="1">
          <wp:simplePos x="0" y="0"/>
          <wp:positionH relativeFrom="column">
            <wp:posOffset>-708660</wp:posOffset>
          </wp:positionH>
          <wp:positionV relativeFrom="paragraph">
            <wp:posOffset>-411480</wp:posOffset>
          </wp:positionV>
          <wp:extent cx="7564755" cy="1099185"/>
          <wp:effectExtent l="0" t="0" r="0" b="5715"/>
          <wp:wrapNone/>
          <wp:docPr id="11" name="Immagine 1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nte_sempl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1099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9E1" w:rsidRDefault="002369E1">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86976"/>
    <w:multiLevelType w:val="hybridMultilevel"/>
    <w:tmpl w:val="E88009F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BF1ABF"/>
    <w:multiLevelType w:val="hybridMultilevel"/>
    <w:tmpl w:val="FF7E2EF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BC37FA0"/>
    <w:multiLevelType w:val="hybridMultilevel"/>
    <w:tmpl w:val="36360A98"/>
    <w:lvl w:ilvl="0" w:tplc="802E0B0C">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78B92308"/>
    <w:multiLevelType w:val="hybridMultilevel"/>
    <w:tmpl w:val="44222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03E"/>
    <w:rsid w:val="000D3BF7"/>
    <w:rsid w:val="00122EFF"/>
    <w:rsid w:val="001E1B1B"/>
    <w:rsid w:val="00222DF8"/>
    <w:rsid w:val="002369E1"/>
    <w:rsid w:val="00285AEA"/>
    <w:rsid w:val="002A3B4B"/>
    <w:rsid w:val="0032716F"/>
    <w:rsid w:val="0037034E"/>
    <w:rsid w:val="003C3B7A"/>
    <w:rsid w:val="003D4C13"/>
    <w:rsid w:val="00483CF5"/>
    <w:rsid w:val="00484BFB"/>
    <w:rsid w:val="0056503E"/>
    <w:rsid w:val="00576B37"/>
    <w:rsid w:val="00580E52"/>
    <w:rsid w:val="00622B77"/>
    <w:rsid w:val="007222AC"/>
    <w:rsid w:val="007D08FC"/>
    <w:rsid w:val="007E62E3"/>
    <w:rsid w:val="00810240"/>
    <w:rsid w:val="008109AD"/>
    <w:rsid w:val="00812138"/>
    <w:rsid w:val="00A66D0D"/>
    <w:rsid w:val="00A77AD6"/>
    <w:rsid w:val="00A8643C"/>
    <w:rsid w:val="00AA7A91"/>
    <w:rsid w:val="00AE6FFC"/>
    <w:rsid w:val="00AF6034"/>
    <w:rsid w:val="00B44C5F"/>
    <w:rsid w:val="00C76F34"/>
    <w:rsid w:val="00CB7FEE"/>
    <w:rsid w:val="00CC762C"/>
    <w:rsid w:val="00D81FAF"/>
    <w:rsid w:val="00E334DD"/>
    <w:rsid w:val="00E95367"/>
    <w:rsid w:val="00EA68F2"/>
    <w:rsid w:val="00F12F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20B4C"/>
  <w15:chartTrackingRefBased/>
  <w15:docId w15:val="{0F422487-0794-4AC9-AD31-93EDD085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503E"/>
    <w:pPr>
      <w:spacing w:after="0" w:line="240" w:lineRule="auto"/>
      <w:jc w:val="both"/>
    </w:pPr>
    <w:rPr>
      <w:rFonts w:ascii="Garamond" w:eastAsia="Calibri" w:hAnsi="Garamond"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69E1"/>
    <w:pPr>
      <w:tabs>
        <w:tab w:val="center" w:pos="4819"/>
        <w:tab w:val="right" w:pos="9638"/>
      </w:tabs>
    </w:pPr>
  </w:style>
  <w:style w:type="character" w:customStyle="1" w:styleId="IntestazioneCarattere">
    <w:name w:val="Intestazione Carattere"/>
    <w:basedOn w:val="Carpredefinitoparagrafo"/>
    <w:link w:val="Intestazione"/>
    <w:uiPriority w:val="99"/>
    <w:rsid w:val="002369E1"/>
    <w:rPr>
      <w:rFonts w:ascii="Garamond" w:eastAsia="Calibri" w:hAnsi="Garamond" w:cs="Times New Roman"/>
      <w:sz w:val="24"/>
      <w:szCs w:val="24"/>
    </w:rPr>
  </w:style>
  <w:style w:type="paragraph" w:styleId="Pidipagina">
    <w:name w:val="footer"/>
    <w:basedOn w:val="Normale"/>
    <w:link w:val="PidipaginaCarattere"/>
    <w:uiPriority w:val="99"/>
    <w:unhideWhenUsed/>
    <w:rsid w:val="002369E1"/>
    <w:pPr>
      <w:tabs>
        <w:tab w:val="center" w:pos="4819"/>
        <w:tab w:val="right" w:pos="9638"/>
      </w:tabs>
    </w:pPr>
  </w:style>
  <w:style w:type="character" w:customStyle="1" w:styleId="PidipaginaCarattere">
    <w:name w:val="Piè di pagina Carattere"/>
    <w:basedOn w:val="Carpredefinitoparagrafo"/>
    <w:link w:val="Pidipagina"/>
    <w:uiPriority w:val="99"/>
    <w:rsid w:val="002369E1"/>
    <w:rPr>
      <w:rFonts w:ascii="Garamond" w:eastAsia="Calibri" w:hAnsi="Garamond" w:cs="Times New Roman"/>
      <w:sz w:val="24"/>
      <w:szCs w:val="24"/>
    </w:rPr>
  </w:style>
  <w:style w:type="paragraph" w:styleId="Paragrafoelenco">
    <w:name w:val="List Paragraph"/>
    <w:basedOn w:val="Normale"/>
    <w:uiPriority w:val="34"/>
    <w:qFormat/>
    <w:rsid w:val="00E95367"/>
    <w:pPr>
      <w:ind w:left="720"/>
      <w:contextualSpacing/>
    </w:pPr>
  </w:style>
  <w:style w:type="character" w:styleId="Collegamentoipertestuale">
    <w:name w:val="Hyperlink"/>
    <w:basedOn w:val="Carpredefinitoparagrafo"/>
    <w:uiPriority w:val="99"/>
    <w:unhideWhenUsed/>
    <w:rsid w:val="00A66D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1029</Words>
  <Characters>5867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TONNETTI ALESSIA</dc:creator>
  <cp:keywords/>
  <dc:description/>
  <cp:lastModifiedBy>CIRULLI ANNA</cp:lastModifiedBy>
  <cp:revision>5</cp:revision>
  <dcterms:created xsi:type="dcterms:W3CDTF">2023-05-22T12:46:00Z</dcterms:created>
  <dcterms:modified xsi:type="dcterms:W3CDTF">2023-05-22T12:46:00Z</dcterms:modified>
</cp:coreProperties>
</file>